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234C2" w14:textId="77777777" w:rsidR="002F0526" w:rsidRPr="00726BDA" w:rsidRDefault="002F0526" w:rsidP="00456F51">
      <w:pPr>
        <w:rPr>
          <w:rFonts w:ascii="Times New Roman" w:hAnsi="Times New Roman" w:cs="Times New Roman"/>
          <w:lang w:val="en-GB"/>
        </w:rPr>
      </w:pPr>
      <w:bookmarkStart w:id="0" w:name="_Toc298410286"/>
      <w:r w:rsidRPr="00B05215">
        <w:rPr>
          <w:noProof/>
          <w:lang w:eastAsia="zh-CN"/>
        </w:rPr>
        <w:drawing>
          <wp:anchor distT="0" distB="0" distL="114300" distR="114300" simplePos="0" relativeHeight="251658240" behindDoc="0" locked="0" layoutInCell="1" allowOverlap="1" wp14:anchorId="7DABE607" wp14:editId="46A48FBB">
            <wp:simplePos x="0" y="0"/>
            <wp:positionH relativeFrom="column">
              <wp:posOffset>-4445</wp:posOffset>
            </wp:positionH>
            <wp:positionV relativeFrom="paragraph">
              <wp:posOffset>-547370</wp:posOffset>
            </wp:positionV>
            <wp:extent cx="2200275" cy="52387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8">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14:paraId="551EC586" w14:textId="77777777" w:rsidR="00D6197F" w:rsidRDefault="00D6197F" w:rsidP="00456F51">
      <w:pPr>
        <w:pStyle w:val="Title"/>
        <w:rPr>
          <w:rFonts w:eastAsia="Times New Roman"/>
          <w:b w:val="0"/>
          <w:bCs w:val="0"/>
          <w:sz w:val="20"/>
          <w:szCs w:val="20"/>
          <w:lang w:val="en-GB"/>
        </w:rPr>
      </w:pPr>
    </w:p>
    <w:p w14:paraId="188C97B9" w14:textId="77777777" w:rsidR="00D6197F" w:rsidRDefault="00D6197F" w:rsidP="00456F51">
      <w:pPr>
        <w:pStyle w:val="Title"/>
        <w:rPr>
          <w:rFonts w:eastAsia="Times New Roman"/>
          <w:b w:val="0"/>
          <w:bCs w:val="0"/>
          <w:sz w:val="20"/>
          <w:szCs w:val="20"/>
          <w:lang w:val="en-GB"/>
        </w:rPr>
      </w:pPr>
    </w:p>
    <w:p w14:paraId="64A55937" w14:textId="036AA09A" w:rsidR="008E2D1F" w:rsidRDefault="00BC65D9" w:rsidP="00456F51">
      <w:pPr>
        <w:pStyle w:val="Title"/>
        <w:rPr>
          <w:lang w:val="en-GB"/>
        </w:rPr>
      </w:pPr>
      <w:r>
        <w:rPr>
          <w:lang w:val="en-GB"/>
        </w:rPr>
        <w:t>Reporting f</w:t>
      </w:r>
      <w:r w:rsidR="008E2D1F" w:rsidRPr="00B05215">
        <w:rPr>
          <w:lang w:val="en-GB"/>
        </w:rPr>
        <w:t>ormat for</w:t>
      </w:r>
      <w:r w:rsidR="00354A14">
        <w:rPr>
          <w:lang w:val="en-GB"/>
        </w:rPr>
        <w:t xml:space="preserve"> a </w:t>
      </w:r>
      <w:r w:rsidR="0041303D">
        <w:rPr>
          <w:lang w:val="en-GB"/>
        </w:rPr>
        <w:t>IUC Pre</w:t>
      </w:r>
      <w:r w:rsidR="005F677C">
        <w:rPr>
          <w:lang w:val="en-GB"/>
        </w:rPr>
        <w:t>-Partner P</w:t>
      </w:r>
      <w:r w:rsidR="00D6197F">
        <w:rPr>
          <w:lang w:val="en-GB"/>
        </w:rPr>
        <w:t>rogramme</w:t>
      </w:r>
      <w:r w:rsidR="000C36CF">
        <w:rPr>
          <w:lang w:val="en-GB"/>
        </w:rPr>
        <w:t xml:space="preserve"> </w:t>
      </w:r>
      <w:r w:rsidR="000C36CF" w:rsidRPr="00861285">
        <w:rPr>
          <w:lang w:val="en-GB"/>
        </w:rPr>
        <w:t>– UCB Bolivia</w:t>
      </w:r>
    </w:p>
    <w:bookmarkEnd w:id="0"/>
    <w:p w14:paraId="61DCFDD5" w14:textId="77777777" w:rsidR="00BC65D9" w:rsidRDefault="00313B80" w:rsidP="00313B80">
      <w:pPr>
        <w:rPr>
          <w:i/>
          <w:lang w:val="en-GB"/>
        </w:rPr>
      </w:pPr>
      <w:r w:rsidRPr="00313B80">
        <w:rPr>
          <w:i/>
          <w:lang w:val="en-GB"/>
        </w:rPr>
        <w:t>In the annual activity report all activities that have been implemented as part of the Pre-partner Programme are to be reported on, both the activities the costs of which were paid from the local account, and the activities the costs of which were paid by VLIR.</w:t>
      </w:r>
    </w:p>
    <w:p w14:paraId="564D4B21" w14:textId="77777777" w:rsidR="001E54B6" w:rsidRDefault="001E54B6" w:rsidP="00E7758B">
      <w:pPr>
        <w:pStyle w:val="Heading1"/>
        <w:rPr>
          <w:lang w:val="en-GB"/>
        </w:rPr>
      </w:pPr>
    </w:p>
    <w:p w14:paraId="605846B6" w14:textId="77777777" w:rsidR="00E7758B" w:rsidRPr="00B05215" w:rsidRDefault="00E7758B" w:rsidP="00E7758B">
      <w:pPr>
        <w:pStyle w:val="Heading1"/>
        <w:rPr>
          <w:lang w:val="en-GB"/>
        </w:rPr>
      </w:pPr>
      <w:r w:rsidRPr="00B05215">
        <w:rPr>
          <w:lang w:val="en-GB"/>
        </w:rPr>
        <w:t>GENERAL INFORMATION</w:t>
      </w:r>
    </w:p>
    <w:tbl>
      <w:tblPr>
        <w:tblStyle w:val="TableGrid"/>
        <w:tblW w:w="9496" w:type="dxa"/>
        <w:tblCellMar>
          <w:top w:w="57" w:type="dxa"/>
        </w:tblCellMar>
        <w:tblLook w:val="04A0" w:firstRow="1" w:lastRow="0" w:firstColumn="1" w:lastColumn="0" w:noHBand="0" w:noVBand="1"/>
      </w:tblPr>
      <w:tblGrid>
        <w:gridCol w:w="4503"/>
        <w:gridCol w:w="425"/>
        <w:gridCol w:w="2297"/>
        <w:gridCol w:w="2271"/>
      </w:tblGrid>
      <w:tr w:rsidR="008B143D" w:rsidRPr="00B05215" w14:paraId="7BBA1AE0"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9FA585"/>
          </w:tcPr>
          <w:p w14:paraId="359DA470" w14:textId="77777777" w:rsidR="008B143D" w:rsidRPr="00B05215" w:rsidRDefault="00D6197F" w:rsidP="00456330">
            <w:pPr>
              <w:spacing w:after="0"/>
              <w:rPr>
                <w:lang w:val="en-GB"/>
              </w:rPr>
            </w:pPr>
            <w:r>
              <w:rPr>
                <w:lang w:val="en-GB"/>
              </w:rPr>
              <w:t>Programme</w:t>
            </w:r>
            <w:r w:rsidR="008B143D">
              <w:rPr>
                <w:lang w:val="en-GB"/>
              </w:rPr>
              <w:t xml:space="preserve"> information</w:t>
            </w:r>
          </w:p>
        </w:tc>
      </w:tr>
      <w:tr w:rsidR="00E7758B" w:rsidRPr="00114B17" w14:paraId="5385664A"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2DA5FA70" w14:textId="77777777" w:rsidR="00E7758B" w:rsidRPr="00B05215" w:rsidRDefault="00EC1252" w:rsidP="00D6197F">
            <w:pPr>
              <w:spacing w:after="0"/>
              <w:rPr>
                <w:lang w:val="en-GB"/>
              </w:rPr>
            </w:pPr>
            <w:r>
              <w:rPr>
                <w:lang w:val="en-GB"/>
              </w:rPr>
              <w:t>C</w:t>
            </w:r>
            <w:r w:rsidR="00354A14">
              <w:rPr>
                <w:lang w:val="en-GB"/>
              </w:rPr>
              <w:t xml:space="preserve">ountry and </w:t>
            </w:r>
            <w:r w:rsidR="00E7758B" w:rsidRPr="00B05215">
              <w:rPr>
                <w:lang w:val="en-GB"/>
              </w:rPr>
              <w:t xml:space="preserve">region </w:t>
            </w:r>
            <w:r w:rsidR="00D6197F">
              <w:rPr>
                <w:lang w:val="en-GB"/>
              </w:rPr>
              <w:t xml:space="preserve">(within the country) </w:t>
            </w:r>
            <w:r w:rsidR="00E7758B" w:rsidRPr="00B05215">
              <w:rPr>
                <w:lang w:val="en-GB"/>
              </w:rPr>
              <w:t xml:space="preserve">of the </w:t>
            </w:r>
            <w:r w:rsidR="00D6197F">
              <w:rPr>
                <w:lang w:val="en-GB"/>
              </w:rPr>
              <w:t>programme</w:t>
            </w:r>
            <w:r w:rsidR="00E7758B" w:rsidRPr="00B05215">
              <w:rPr>
                <w:lang w:val="en-GB"/>
              </w:rPr>
              <w:t xml:space="preserve"> </w:t>
            </w:r>
          </w:p>
        </w:tc>
      </w:tr>
      <w:tr w:rsidR="00E7758B" w:rsidRPr="00114B17" w14:paraId="2C1B1EA5" w14:textId="77777777" w:rsidTr="00692066">
        <w:tc>
          <w:tcPr>
            <w:tcW w:w="9496" w:type="dxa"/>
            <w:gridSpan w:val="4"/>
            <w:tcBorders>
              <w:top w:val="single" w:sz="4" w:space="0" w:color="9FA585"/>
              <w:left w:val="single" w:sz="4" w:space="0" w:color="9FA585"/>
              <w:bottom w:val="single" w:sz="4" w:space="0" w:color="9FA585"/>
              <w:right w:val="single" w:sz="4" w:space="0" w:color="9FA585"/>
            </w:tcBorders>
          </w:tcPr>
          <w:p w14:paraId="3FB20949" w14:textId="3B5C94A6" w:rsidR="00E7758B" w:rsidRPr="00B05215" w:rsidRDefault="00F84C41" w:rsidP="00AB25A4">
            <w:pPr>
              <w:spacing w:after="0"/>
              <w:rPr>
                <w:sz w:val="18"/>
                <w:lang w:val="en-GB"/>
              </w:rPr>
            </w:pPr>
            <w:r w:rsidRPr="0071757C">
              <w:rPr>
                <w:sz w:val="18"/>
                <w:lang w:val="en-GB"/>
              </w:rPr>
              <w:t>Bolivia, including three geographical regions (Highlands, Valleys and Lowlands) and 4 socio-political and cultural contexts: La Paz, Cochabamba, Tarija and Santa Cruz (rural and urban areas).</w:t>
            </w:r>
          </w:p>
        </w:tc>
      </w:tr>
      <w:tr w:rsidR="00E7758B" w:rsidRPr="00B05215" w14:paraId="132AE9CE"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277373B7" w14:textId="77777777" w:rsidR="00E7758B" w:rsidRPr="00B05215" w:rsidRDefault="00D6197F" w:rsidP="00AB25A4">
            <w:pPr>
              <w:spacing w:after="0"/>
              <w:rPr>
                <w:lang w:val="en-GB"/>
              </w:rPr>
            </w:pPr>
            <w:r>
              <w:rPr>
                <w:lang w:val="en-GB"/>
              </w:rPr>
              <w:t>Programme</w:t>
            </w:r>
            <w:r w:rsidR="00E7758B" w:rsidRPr="00B05215">
              <w:rPr>
                <w:lang w:val="en-GB"/>
              </w:rPr>
              <w:t xml:space="preserve"> title</w:t>
            </w:r>
          </w:p>
        </w:tc>
      </w:tr>
      <w:tr w:rsidR="00E7758B" w:rsidRPr="00114B17" w14:paraId="07457C16" w14:textId="77777777" w:rsidTr="00692066">
        <w:tc>
          <w:tcPr>
            <w:tcW w:w="9496" w:type="dxa"/>
            <w:gridSpan w:val="4"/>
            <w:tcBorders>
              <w:top w:val="single" w:sz="4" w:space="0" w:color="9FA585"/>
              <w:left w:val="single" w:sz="4" w:space="0" w:color="9FA585"/>
              <w:bottom w:val="single" w:sz="4" w:space="0" w:color="9FA585"/>
              <w:right w:val="single" w:sz="4" w:space="0" w:color="9FA585"/>
            </w:tcBorders>
          </w:tcPr>
          <w:p w14:paraId="705851C2" w14:textId="3174E038" w:rsidR="00E7758B" w:rsidRPr="00B05215" w:rsidRDefault="00F84C41" w:rsidP="00AB25A4">
            <w:pPr>
              <w:spacing w:after="0"/>
              <w:rPr>
                <w:sz w:val="18"/>
                <w:lang w:val="en-GB"/>
              </w:rPr>
            </w:pPr>
            <w:r>
              <w:rPr>
                <w:sz w:val="18"/>
                <w:lang w:val="en-GB"/>
              </w:rPr>
              <w:t>Pre-partner Program</w:t>
            </w:r>
            <w:r w:rsidR="00C3269A">
              <w:rPr>
                <w:sz w:val="18"/>
                <w:lang w:val="en-GB"/>
              </w:rPr>
              <w:t>me</w:t>
            </w:r>
            <w:r>
              <w:rPr>
                <w:sz w:val="18"/>
                <w:lang w:val="en-GB"/>
              </w:rPr>
              <w:t>: Preparatory Activities for IUC –</w:t>
            </w:r>
            <w:r w:rsidR="005D6721">
              <w:rPr>
                <w:sz w:val="18"/>
                <w:lang w:val="en-GB"/>
              </w:rPr>
              <w:t xml:space="preserve"> </w:t>
            </w:r>
            <w:r>
              <w:rPr>
                <w:sz w:val="18"/>
                <w:lang w:val="en-GB"/>
              </w:rPr>
              <w:t xml:space="preserve">Bolivia </w:t>
            </w:r>
          </w:p>
        </w:tc>
      </w:tr>
      <w:tr w:rsidR="005C37F2" w:rsidRPr="005C37F2" w14:paraId="564A479C"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5C9B5" w:themeFill="accent3"/>
          </w:tcPr>
          <w:p w14:paraId="0FB60E2B" w14:textId="77777777" w:rsidR="005C37F2" w:rsidRPr="00B05215" w:rsidRDefault="00D6197F" w:rsidP="00AB25A4">
            <w:pPr>
              <w:spacing w:after="0"/>
              <w:rPr>
                <w:sz w:val="18"/>
                <w:lang w:val="en-GB"/>
              </w:rPr>
            </w:pPr>
            <w:r>
              <w:rPr>
                <w:lang w:val="en-GB"/>
              </w:rPr>
              <w:t>Programme</w:t>
            </w:r>
            <w:r w:rsidR="005C37F2">
              <w:rPr>
                <w:lang w:val="en-GB"/>
              </w:rPr>
              <w:t xml:space="preserve"> Summary (Max. 5 lines)</w:t>
            </w:r>
          </w:p>
        </w:tc>
      </w:tr>
      <w:tr w:rsidR="005C37F2" w:rsidRPr="00114B17" w14:paraId="539D777B" w14:textId="77777777" w:rsidTr="00692066">
        <w:tc>
          <w:tcPr>
            <w:tcW w:w="9496" w:type="dxa"/>
            <w:gridSpan w:val="4"/>
            <w:tcBorders>
              <w:top w:val="single" w:sz="4" w:space="0" w:color="9FA585"/>
              <w:left w:val="single" w:sz="4" w:space="0" w:color="9FA585"/>
              <w:bottom w:val="single" w:sz="4" w:space="0" w:color="9FA585"/>
              <w:right w:val="single" w:sz="4" w:space="0" w:color="9FA585"/>
            </w:tcBorders>
          </w:tcPr>
          <w:p w14:paraId="022EAC87" w14:textId="232A81AE" w:rsidR="00F84C41" w:rsidRPr="00465779" w:rsidRDefault="00F84C41" w:rsidP="00842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sz w:val="18"/>
                <w:lang w:val="en-US"/>
              </w:rPr>
            </w:pPr>
            <w:r w:rsidRPr="00F84C41">
              <w:rPr>
                <w:rFonts w:asciiTheme="minorHAnsi" w:hAnsiTheme="minorHAnsi" w:cstheme="minorHAnsi"/>
                <w:color w:val="212121"/>
                <w:sz w:val="18"/>
                <w:shd w:val="clear" w:color="auto" w:fill="FFFFFF"/>
                <w:lang w:val="en-GB"/>
              </w:rPr>
              <w:t>The PPP for IUC</w:t>
            </w:r>
            <w:r w:rsidR="001D1EC6">
              <w:rPr>
                <w:rFonts w:asciiTheme="minorHAnsi" w:hAnsiTheme="minorHAnsi" w:cstheme="minorHAnsi"/>
                <w:color w:val="212121"/>
                <w:sz w:val="18"/>
                <w:shd w:val="clear" w:color="auto" w:fill="FFFFFF"/>
                <w:lang w:val="en-GB"/>
              </w:rPr>
              <w:t xml:space="preserve"> </w:t>
            </w:r>
            <w:r w:rsidRPr="00F84C41">
              <w:rPr>
                <w:rFonts w:asciiTheme="minorHAnsi" w:hAnsiTheme="minorHAnsi" w:cstheme="minorHAnsi"/>
                <w:color w:val="212121"/>
                <w:sz w:val="18"/>
                <w:shd w:val="clear" w:color="auto" w:fill="FFFFFF"/>
                <w:lang w:val="en-GB"/>
              </w:rPr>
              <w:t>-</w:t>
            </w:r>
            <w:r w:rsidR="005D6721">
              <w:rPr>
                <w:rFonts w:asciiTheme="minorHAnsi" w:hAnsiTheme="minorHAnsi" w:cstheme="minorHAnsi"/>
                <w:color w:val="212121"/>
                <w:sz w:val="18"/>
                <w:shd w:val="clear" w:color="auto" w:fill="FFFFFF"/>
                <w:lang w:val="en-GB"/>
              </w:rPr>
              <w:t xml:space="preserve"> </w:t>
            </w:r>
            <w:r w:rsidRPr="00F84C41">
              <w:rPr>
                <w:rFonts w:asciiTheme="minorHAnsi" w:hAnsiTheme="minorHAnsi" w:cstheme="minorHAnsi"/>
                <w:color w:val="212121"/>
                <w:sz w:val="18"/>
                <w:shd w:val="clear" w:color="auto" w:fill="FFFFFF"/>
                <w:lang w:val="en-GB"/>
              </w:rPr>
              <w:t xml:space="preserve">Bolivia, intends to plan and carry out the PCM workshops for five thematic projects, for one transversal project and for the PSU. Additionally, it seeks to start the process of preparation for the mapping phase, and finally, to consolidate the potential partner’s network that will collaborate in the establishment of Interdisciplinary Learning Communities to achieve an </w:t>
            </w:r>
            <w:r w:rsidRPr="00F84C41">
              <w:rPr>
                <w:rFonts w:asciiTheme="minorHAnsi" w:hAnsiTheme="minorHAnsi" w:cstheme="minorHAnsi"/>
                <w:bCs/>
                <w:color w:val="212121"/>
                <w:sz w:val="18"/>
                <w:shd w:val="clear" w:color="auto" w:fill="FFFFFF"/>
                <w:lang w:val="en-US"/>
              </w:rPr>
              <w:t>inclusive community development, to improve the quality of life for families, children and adolescents in poor rural and urban communities.</w:t>
            </w:r>
          </w:p>
        </w:tc>
      </w:tr>
      <w:tr w:rsidR="005C37F2" w:rsidRPr="00F20F0F" w14:paraId="4BE20663"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5AFD8B9E" w14:textId="77777777" w:rsidR="005C37F2" w:rsidRPr="00B05215" w:rsidRDefault="00D6197F" w:rsidP="00BC65D9">
            <w:pPr>
              <w:spacing w:after="0"/>
              <w:rPr>
                <w:lang w:val="en-GB"/>
              </w:rPr>
            </w:pPr>
            <w:r>
              <w:rPr>
                <w:lang w:val="en-GB"/>
              </w:rPr>
              <w:t>Programme</w:t>
            </w:r>
            <w:r w:rsidR="005C37F2" w:rsidRPr="00B05215">
              <w:rPr>
                <w:lang w:val="en-GB"/>
              </w:rPr>
              <w:t xml:space="preserve"> duration </w:t>
            </w:r>
          </w:p>
        </w:tc>
      </w:tr>
      <w:tr w:rsidR="005C37F2" w:rsidRPr="00114B17" w14:paraId="7DF64F8C" w14:textId="77777777" w:rsidTr="00692066">
        <w:tc>
          <w:tcPr>
            <w:tcW w:w="9496" w:type="dxa"/>
            <w:gridSpan w:val="4"/>
            <w:tcBorders>
              <w:top w:val="single" w:sz="4" w:space="0" w:color="9FA585"/>
              <w:left w:val="single" w:sz="4" w:space="0" w:color="9FA585"/>
              <w:bottom w:val="single" w:sz="4" w:space="0" w:color="9FA585"/>
              <w:right w:val="single" w:sz="4" w:space="0" w:color="9FA585"/>
            </w:tcBorders>
          </w:tcPr>
          <w:p w14:paraId="391BE393" w14:textId="699642AB" w:rsidR="005C37F2" w:rsidRPr="00BC65D9" w:rsidRDefault="00BC65D9" w:rsidP="00AB25A4">
            <w:pPr>
              <w:spacing w:after="0"/>
              <w:rPr>
                <w:sz w:val="18"/>
                <w:lang w:val="en-GB"/>
              </w:rPr>
            </w:pPr>
            <w:r w:rsidRPr="00BC65D9">
              <w:rPr>
                <w:sz w:val="18"/>
                <w:szCs w:val="18"/>
                <w:lang w:val="en-GB"/>
              </w:rPr>
              <w:t>1 March 2016 – 31 December 2016</w:t>
            </w:r>
            <w:r w:rsidR="00C3269A">
              <w:rPr>
                <w:sz w:val="18"/>
                <w:szCs w:val="18"/>
                <w:lang w:val="en-GB"/>
              </w:rPr>
              <w:t xml:space="preserve"> (AP 2015 and AP 2016)</w:t>
            </w:r>
          </w:p>
        </w:tc>
      </w:tr>
      <w:tr w:rsidR="005C37F2" w:rsidRPr="00BC65D9" w14:paraId="2FBFA063"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6D56A332" w14:textId="77777777" w:rsidR="005C37F2" w:rsidRPr="00B05215" w:rsidRDefault="00BC65D9" w:rsidP="00BC65D9">
            <w:pPr>
              <w:spacing w:after="0"/>
              <w:rPr>
                <w:lang w:val="en-GB"/>
              </w:rPr>
            </w:pPr>
            <w:r>
              <w:rPr>
                <w:lang w:val="en-GB"/>
              </w:rPr>
              <w:t>Reporting period</w:t>
            </w:r>
          </w:p>
        </w:tc>
      </w:tr>
      <w:tr w:rsidR="005C37F2" w:rsidRPr="00F20F0F" w14:paraId="66616829" w14:textId="77777777" w:rsidTr="00692066">
        <w:tc>
          <w:tcPr>
            <w:tcW w:w="9496" w:type="dxa"/>
            <w:gridSpan w:val="4"/>
            <w:tcBorders>
              <w:top w:val="single" w:sz="4" w:space="0" w:color="9FA585"/>
              <w:left w:val="single" w:sz="4" w:space="0" w:color="9FA585"/>
              <w:bottom w:val="single" w:sz="4" w:space="0" w:color="9FA585"/>
              <w:right w:val="single" w:sz="4" w:space="0" w:color="9FA585"/>
            </w:tcBorders>
          </w:tcPr>
          <w:p w14:paraId="6578CD1B" w14:textId="2586C532" w:rsidR="005C37F2" w:rsidRPr="00B05215" w:rsidRDefault="00D6197F" w:rsidP="0053096B">
            <w:pPr>
              <w:spacing w:after="0"/>
              <w:rPr>
                <w:sz w:val="18"/>
                <w:lang w:val="en-GB"/>
              </w:rPr>
            </w:pPr>
            <w:r>
              <w:rPr>
                <w:sz w:val="18"/>
                <w:lang w:val="en-GB"/>
              </w:rPr>
              <w:t>1 Ma</w:t>
            </w:r>
            <w:r w:rsidR="0053096B">
              <w:rPr>
                <w:sz w:val="18"/>
                <w:lang w:val="en-GB"/>
              </w:rPr>
              <w:t>y</w:t>
            </w:r>
            <w:r>
              <w:rPr>
                <w:sz w:val="18"/>
                <w:lang w:val="en-GB"/>
              </w:rPr>
              <w:t xml:space="preserve"> </w:t>
            </w:r>
            <w:r w:rsidR="0041303D">
              <w:rPr>
                <w:sz w:val="18"/>
                <w:lang w:val="en-GB"/>
              </w:rPr>
              <w:t>2016</w:t>
            </w:r>
            <w:r w:rsidR="00BC65D9">
              <w:rPr>
                <w:sz w:val="18"/>
                <w:lang w:val="en-GB"/>
              </w:rPr>
              <w:t xml:space="preserve"> – 3</w:t>
            </w:r>
            <w:r w:rsidR="0053096B">
              <w:rPr>
                <w:sz w:val="18"/>
                <w:lang w:val="en-GB"/>
              </w:rPr>
              <w:t>1</w:t>
            </w:r>
            <w:r w:rsidR="00BC65D9">
              <w:rPr>
                <w:sz w:val="18"/>
                <w:lang w:val="en-GB"/>
              </w:rPr>
              <w:t xml:space="preserve"> </w:t>
            </w:r>
            <w:r w:rsidR="0053096B">
              <w:rPr>
                <w:sz w:val="18"/>
                <w:lang w:val="en-GB"/>
              </w:rPr>
              <w:t>December</w:t>
            </w:r>
            <w:r w:rsidR="00BC65D9">
              <w:rPr>
                <w:sz w:val="18"/>
                <w:lang w:val="en-GB"/>
              </w:rPr>
              <w:t xml:space="preserve"> 2016</w:t>
            </w:r>
            <w:r w:rsidR="00C3269A">
              <w:rPr>
                <w:sz w:val="18"/>
                <w:lang w:val="en-GB"/>
              </w:rPr>
              <w:t xml:space="preserve"> (AP 201</w:t>
            </w:r>
            <w:r w:rsidR="0053096B">
              <w:rPr>
                <w:sz w:val="18"/>
                <w:lang w:val="en-GB"/>
              </w:rPr>
              <w:t>6</w:t>
            </w:r>
            <w:r w:rsidR="00C3269A">
              <w:rPr>
                <w:sz w:val="18"/>
                <w:lang w:val="en-GB"/>
              </w:rPr>
              <w:t>)</w:t>
            </w:r>
          </w:p>
        </w:tc>
      </w:tr>
      <w:tr w:rsidR="005C37F2" w:rsidRPr="00114B17" w14:paraId="2BF0F353"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41E5E78D" w14:textId="77777777" w:rsidR="005C37F2" w:rsidRPr="00B05215" w:rsidRDefault="00D6197F" w:rsidP="009F61ED">
            <w:pPr>
              <w:spacing w:after="0"/>
              <w:rPr>
                <w:lang w:val="en-GB"/>
              </w:rPr>
            </w:pPr>
            <w:r>
              <w:rPr>
                <w:lang w:val="en-GB"/>
              </w:rPr>
              <w:t>Full details of the local IUC coordinator / IUC partner university</w:t>
            </w:r>
          </w:p>
        </w:tc>
      </w:tr>
      <w:tr w:rsidR="005C37F2" w:rsidRPr="00114B17" w14:paraId="0C91ADCE" w14:textId="77777777" w:rsidTr="00344C90">
        <w:trPr>
          <w:trHeight w:val="100"/>
        </w:trPr>
        <w:tc>
          <w:tcPr>
            <w:tcW w:w="4503" w:type="dxa"/>
            <w:tcBorders>
              <w:top w:val="single" w:sz="4" w:space="0" w:color="9FA585"/>
              <w:left w:val="single" w:sz="4" w:space="0" w:color="9FA585"/>
              <w:bottom w:val="single" w:sz="4" w:space="0" w:color="9FA585"/>
              <w:right w:val="single" w:sz="4" w:space="0" w:color="9FA585"/>
            </w:tcBorders>
          </w:tcPr>
          <w:p w14:paraId="55B38E98" w14:textId="77777777" w:rsidR="005C37F2" w:rsidRPr="00B05215" w:rsidRDefault="005C37F2" w:rsidP="00AB25A4">
            <w:pPr>
              <w:spacing w:after="0"/>
              <w:jc w:val="left"/>
              <w:rPr>
                <w:sz w:val="18"/>
                <w:lang w:val="en-GB"/>
              </w:rPr>
            </w:pPr>
            <w:r w:rsidRPr="00B05215">
              <w:rPr>
                <w:sz w:val="18"/>
                <w:lang w:val="en-GB"/>
              </w:rPr>
              <w:t>Name, faculty, department and unit</w:t>
            </w:r>
          </w:p>
        </w:tc>
        <w:tc>
          <w:tcPr>
            <w:tcW w:w="4993" w:type="dxa"/>
            <w:gridSpan w:val="3"/>
            <w:tcBorders>
              <w:top w:val="single" w:sz="4" w:space="0" w:color="9FA585"/>
              <w:left w:val="single" w:sz="4" w:space="0" w:color="9FA585"/>
              <w:bottom w:val="single" w:sz="4" w:space="0" w:color="9FA585"/>
              <w:right w:val="single" w:sz="4" w:space="0" w:color="9FA585"/>
            </w:tcBorders>
          </w:tcPr>
          <w:p w14:paraId="64723615" w14:textId="77777777" w:rsidR="005C37F2" w:rsidRPr="00B05215" w:rsidRDefault="00344C90" w:rsidP="00AB25A4">
            <w:pPr>
              <w:spacing w:after="0"/>
              <w:rPr>
                <w:sz w:val="18"/>
                <w:lang w:val="en-GB"/>
              </w:rPr>
            </w:pPr>
            <w:r>
              <w:rPr>
                <w:sz w:val="18"/>
                <w:lang w:val="en-GB"/>
              </w:rPr>
              <w:t xml:space="preserve">Universidad </w:t>
            </w:r>
            <w:proofErr w:type="spellStart"/>
            <w:r>
              <w:rPr>
                <w:sz w:val="18"/>
                <w:lang w:val="en-GB"/>
              </w:rPr>
              <w:t>Católica</w:t>
            </w:r>
            <w:proofErr w:type="spellEnd"/>
            <w:r>
              <w:rPr>
                <w:sz w:val="18"/>
                <w:lang w:val="en-GB"/>
              </w:rPr>
              <w:t xml:space="preserve"> </w:t>
            </w:r>
            <w:proofErr w:type="spellStart"/>
            <w:r>
              <w:rPr>
                <w:sz w:val="18"/>
                <w:lang w:val="en-GB"/>
              </w:rPr>
              <w:t>Boliviana</w:t>
            </w:r>
            <w:proofErr w:type="spellEnd"/>
            <w:r>
              <w:rPr>
                <w:sz w:val="18"/>
                <w:lang w:val="en-GB"/>
              </w:rPr>
              <w:t xml:space="preserve"> “San Pablo”, National Coordination Unit for Special Projects</w:t>
            </w:r>
          </w:p>
        </w:tc>
      </w:tr>
      <w:tr w:rsidR="005C37F2" w:rsidRPr="00114B17" w14:paraId="45916B8F" w14:textId="77777777" w:rsidTr="00344C90">
        <w:trPr>
          <w:trHeight w:val="100"/>
        </w:trPr>
        <w:tc>
          <w:tcPr>
            <w:tcW w:w="4503" w:type="dxa"/>
            <w:tcBorders>
              <w:top w:val="single" w:sz="4" w:space="0" w:color="9FA585"/>
              <w:left w:val="single" w:sz="4" w:space="0" w:color="9FA585"/>
              <w:bottom w:val="single" w:sz="4" w:space="0" w:color="9FA585"/>
              <w:right w:val="single" w:sz="4" w:space="0" w:color="9FA585"/>
            </w:tcBorders>
          </w:tcPr>
          <w:p w14:paraId="4BC57A12" w14:textId="77777777" w:rsidR="005C37F2" w:rsidRPr="00B05215" w:rsidRDefault="00D6197F" w:rsidP="00AB25A4">
            <w:pPr>
              <w:spacing w:after="0"/>
              <w:jc w:val="left"/>
              <w:rPr>
                <w:sz w:val="18"/>
                <w:lang w:val="en-GB"/>
              </w:rPr>
            </w:pPr>
            <w:r>
              <w:rPr>
                <w:sz w:val="18"/>
                <w:lang w:val="en-GB"/>
              </w:rPr>
              <w:t xml:space="preserve">Local </w:t>
            </w:r>
            <w:r w:rsidR="00692066">
              <w:rPr>
                <w:sz w:val="18"/>
                <w:lang w:val="en-GB"/>
              </w:rPr>
              <w:t xml:space="preserve">Coordinator </w:t>
            </w:r>
          </w:p>
          <w:p w14:paraId="71E8F441" w14:textId="77777777" w:rsidR="005C37F2" w:rsidRPr="00B05215" w:rsidRDefault="005C37F2" w:rsidP="00C60F2F">
            <w:pPr>
              <w:spacing w:after="0"/>
              <w:jc w:val="left"/>
              <w:rPr>
                <w:i/>
                <w:sz w:val="18"/>
                <w:lang w:val="en-GB"/>
              </w:rPr>
            </w:pPr>
            <w:r w:rsidRPr="00B05215">
              <w:rPr>
                <w:i/>
                <w:sz w:val="18"/>
                <w:lang w:val="en-GB"/>
              </w:rPr>
              <w:t>(Name, address, phone, e-mail address, function)</w:t>
            </w:r>
          </w:p>
        </w:tc>
        <w:tc>
          <w:tcPr>
            <w:tcW w:w="4993" w:type="dxa"/>
            <w:gridSpan w:val="3"/>
            <w:tcBorders>
              <w:top w:val="single" w:sz="4" w:space="0" w:color="9FA585"/>
              <w:left w:val="single" w:sz="4" w:space="0" w:color="9FA585"/>
              <w:bottom w:val="single" w:sz="4" w:space="0" w:color="9FA585"/>
              <w:right w:val="single" w:sz="4" w:space="0" w:color="9FA585"/>
            </w:tcBorders>
          </w:tcPr>
          <w:p w14:paraId="10EF5B26" w14:textId="77777777" w:rsidR="005C37F2" w:rsidRPr="00861285" w:rsidRDefault="00344C90" w:rsidP="00AB25A4">
            <w:pPr>
              <w:spacing w:after="0"/>
              <w:rPr>
                <w:sz w:val="18"/>
                <w:lang w:val="es-ES"/>
              </w:rPr>
            </w:pPr>
            <w:r w:rsidRPr="00861285">
              <w:rPr>
                <w:sz w:val="18"/>
                <w:lang w:val="es-ES"/>
              </w:rPr>
              <w:t>Melina Balderrama Durán</w:t>
            </w:r>
          </w:p>
          <w:p w14:paraId="49888C42" w14:textId="77777777" w:rsidR="00344C90" w:rsidRPr="00344C90" w:rsidRDefault="00344C90" w:rsidP="00AB25A4">
            <w:pPr>
              <w:spacing w:after="0"/>
              <w:rPr>
                <w:sz w:val="18"/>
                <w:lang w:val="es-BO"/>
              </w:rPr>
            </w:pPr>
            <w:r w:rsidRPr="00344C90">
              <w:rPr>
                <w:sz w:val="18"/>
                <w:lang w:val="es-BO"/>
              </w:rPr>
              <w:t>Av. 14 de Septiembre, e</w:t>
            </w:r>
            <w:r>
              <w:rPr>
                <w:sz w:val="18"/>
                <w:lang w:val="es-BO"/>
              </w:rPr>
              <w:t>s</w:t>
            </w:r>
            <w:r w:rsidRPr="00344C90">
              <w:rPr>
                <w:sz w:val="18"/>
                <w:lang w:val="es-BO"/>
              </w:rPr>
              <w:t>quin</w:t>
            </w:r>
            <w:r>
              <w:rPr>
                <w:sz w:val="18"/>
                <w:lang w:val="es-BO"/>
              </w:rPr>
              <w:t>a</w:t>
            </w:r>
            <w:r w:rsidRPr="00344C90">
              <w:rPr>
                <w:sz w:val="18"/>
                <w:lang w:val="es-BO"/>
              </w:rPr>
              <w:t xml:space="preserve"> calle 2 de Obrajes N°4807</w:t>
            </w:r>
          </w:p>
          <w:p w14:paraId="16799672" w14:textId="77777777" w:rsidR="00344C90" w:rsidRPr="00114B17" w:rsidRDefault="00344C90" w:rsidP="00AB25A4">
            <w:pPr>
              <w:spacing w:after="0"/>
              <w:rPr>
                <w:sz w:val="18"/>
                <w:lang w:val="en-US"/>
              </w:rPr>
            </w:pPr>
            <w:r w:rsidRPr="00114B17">
              <w:rPr>
                <w:sz w:val="18"/>
                <w:lang w:val="en-US"/>
              </w:rPr>
              <w:t>(591) 2-2782222 int. 2980</w:t>
            </w:r>
          </w:p>
          <w:p w14:paraId="518D5E6B" w14:textId="77777777" w:rsidR="00344C90" w:rsidRPr="00114B17" w:rsidRDefault="008D084B" w:rsidP="00AB25A4">
            <w:pPr>
              <w:spacing w:after="0"/>
              <w:rPr>
                <w:sz w:val="18"/>
                <w:lang w:val="en-US"/>
              </w:rPr>
            </w:pPr>
            <w:hyperlink r:id="rId9" w:history="1">
              <w:r w:rsidR="00344C90" w:rsidRPr="00114B17">
                <w:rPr>
                  <w:rStyle w:val="Hyperlink"/>
                  <w:sz w:val="18"/>
                  <w:lang w:val="en-US"/>
                </w:rPr>
                <w:t>i_balderrama_d@ucb.edu.bo</w:t>
              </w:r>
            </w:hyperlink>
            <w:r w:rsidR="00344C90" w:rsidRPr="00114B17">
              <w:rPr>
                <w:sz w:val="18"/>
                <w:lang w:val="en-US"/>
              </w:rPr>
              <w:t xml:space="preserve">; </w:t>
            </w:r>
            <w:hyperlink r:id="rId10" w:history="1">
              <w:r w:rsidR="00344C90" w:rsidRPr="00114B17">
                <w:rPr>
                  <w:rStyle w:val="Hyperlink"/>
                  <w:sz w:val="18"/>
                  <w:lang w:val="en-US"/>
                </w:rPr>
                <w:t>melinabaldur@gmail.com</w:t>
              </w:r>
            </w:hyperlink>
          </w:p>
          <w:p w14:paraId="376C01E4" w14:textId="77777777" w:rsidR="00344C90" w:rsidRPr="00344C90" w:rsidRDefault="00344C90" w:rsidP="00AB25A4">
            <w:pPr>
              <w:spacing w:after="0"/>
              <w:rPr>
                <w:sz w:val="18"/>
                <w:lang w:val="en-US"/>
              </w:rPr>
            </w:pPr>
            <w:r>
              <w:rPr>
                <w:sz w:val="18"/>
                <w:lang w:val="en-US"/>
              </w:rPr>
              <w:t>National Coordinator of Special Projects</w:t>
            </w:r>
          </w:p>
        </w:tc>
      </w:tr>
      <w:tr w:rsidR="005C37F2" w:rsidRPr="00114B17" w14:paraId="18E7DDDB" w14:textId="77777777" w:rsidTr="00344C90">
        <w:trPr>
          <w:trHeight w:val="100"/>
        </w:trPr>
        <w:tc>
          <w:tcPr>
            <w:tcW w:w="4503" w:type="dxa"/>
            <w:tcBorders>
              <w:top w:val="single" w:sz="4" w:space="0" w:color="9FA585"/>
              <w:left w:val="single" w:sz="4" w:space="0" w:color="9FA585"/>
              <w:bottom w:val="single" w:sz="4" w:space="0" w:color="9FA585"/>
              <w:right w:val="single" w:sz="4" w:space="0" w:color="9FA585"/>
            </w:tcBorders>
          </w:tcPr>
          <w:p w14:paraId="76D81DB8" w14:textId="77777777" w:rsidR="001D738C" w:rsidRDefault="005C37F2" w:rsidP="00AB25A4">
            <w:pPr>
              <w:spacing w:after="0"/>
              <w:jc w:val="left"/>
              <w:rPr>
                <w:sz w:val="18"/>
                <w:lang w:val="en-GB"/>
              </w:rPr>
            </w:pPr>
            <w:r w:rsidRPr="00B05215">
              <w:rPr>
                <w:sz w:val="18"/>
                <w:lang w:val="en-GB"/>
              </w:rPr>
              <w:t>Name(s) of the a</w:t>
            </w:r>
            <w:r w:rsidR="001D738C">
              <w:rPr>
                <w:sz w:val="18"/>
                <w:lang w:val="en-GB"/>
              </w:rPr>
              <w:t>uthority of the local institute</w:t>
            </w:r>
          </w:p>
          <w:p w14:paraId="5BF914B4" w14:textId="77777777" w:rsidR="005C37F2" w:rsidRPr="00B05215" w:rsidRDefault="005C37F2" w:rsidP="00AB25A4">
            <w:pPr>
              <w:spacing w:after="0"/>
              <w:jc w:val="left"/>
              <w:rPr>
                <w:sz w:val="18"/>
                <w:lang w:val="en-GB"/>
              </w:rPr>
            </w:pPr>
            <w:r w:rsidRPr="00B05215">
              <w:rPr>
                <w:sz w:val="18"/>
                <w:lang w:val="en-GB"/>
              </w:rPr>
              <w:t>(Rector, Vice-Rector)</w:t>
            </w:r>
          </w:p>
        </w:tc>
        <w:tc>
          <w:tcPr>
            <w:tcW w:w="4993" w:type="dxa"/>
            <w:gridSpan w:val="3"/>
            <w:tcBorders>
              <w:top w:val="single" w:sz="4" w:space="0" w:color="9FA585"/>
              <w:left w:val="single" w:sz="4" w:space="0" w:color="9FA585"/>
              <w:bottom w:val="single" w:sz="4" w:space="0" w:color="9FA585"/>
              <w:right w:val="single" w:sz="4" w:space="0" w:color="9FA585"/>
            </w:tcBorders>
          </w:tcPr>
          <w:p w14:paraId="7D9C16C7" w14:textId="77777777" w:rsidR="005C37F2" w:rsidRPr="00344C90" w:rsidRDefault="00344C90" w:rsidP="00AB25A4">
            <w:pPr>
              <w:spacing w:after="0"/>
              <w:rPr>
                <w:sz w:val="18"/>
                <w:lang w:val="es-BO"/>
              </w:rPr>
            </w:pPr>
            <w:r>
              <w:rPr>
                <w:sz w:val="18"/>
                <w:lang w:val="es-BO"/>
              </w:rPr>
              <w:t xml:space="preserve">Mgr. </w:t>
            </w:r>
            <w:r w:rsidRPr="00344C90">
              <w:rPr>
                <w:sz w:val="18"/>
                <w:lang w:val="es-BO"/>
              </w:rPr>
              <w:t>Marco Antonio Fernández Calderón</w:t>
            </w:r>
          </w:p>
          <w:p w14:paraId="6822C4E1" w14:textId="77777777" w:rsidR="00344C90" w:rsidRPr="00344C90" w:rsidRDefault="00344C90" w:rsidP="00AB25A4">
            <w:pPr>
              <w:spacing w:after="0"/>
              <w:rPr>
                <w:sz w:val="18"/>
                <w:lang w:val="es-BO"/>
              </w:rPr>
            </w:pPr>
            <w:r w:rsidRPr="00344C90">
              <w:rPr>
                <w:sz w:val="18"/>
                <w:lang w:val="es-BO"/>
              </w:rPr>
              <w:t>National Rector of Universidad Cat</w:t>
            </w:r>
            <w:r>
              <w:rPr>
                <w:sz w:val="18"/>
                <w:lang w:val="es-BO"/>
              </w:rPr>
              <w:t>ólica Boliviana “San Pablo”</w:t>
            </w:r>
          </w:p>
        </w:tc>
      </w:tr>
      <w:tr w:rsidR="00E8470E" w:rsidRPr="00C3269A" w14:paraId="5AA13930" w14:textId="77777777" w:rsidTr="00344C90">
        <w:trPr>
          <w:trHeight w:val="100"/>
        </w:trPr>
        <w:tc>
          <w:tcPr>
            <w:tcW w:w="4503" w:type="dxa"/>
            <w:tcBorders>
              <w:top w:val="single" w:sz="4" w:space="0" w:color="9FA585"/>
              <w:left w:val="single" w:sz="4" w:space="0" w:color="9FA585"/>
              <w:bottom w:val="single" w:sz="4" w:space="0" w:color="9FA585"/>
              <w:right w:val="single" w:sz="4" w:space="0" w:color="9FA585"/>
            </w:tcBorders>
          </w:tcPr>
          <w:p w14:paraId="1236E68A" w14:textId="77777777" w:rsidR="00E8470E" w:rsidRPr="00B05215" w:rsidRDefault="00E8470E" w:rsidP="00AB25A4">
            <w:pPr>
              <w:spacing w:after="0"/>
              <w:jc w:val="left"/>
              <w:rPr>
                <w:sz w:val="18"/>
                <w:lang w:val="en-GB"/>
              </w:rPr>
            </w:pPr>
            <w:r>
              <w:rPr>
                <w:sz w:val="18"/>
                <w:lang w:val="en-GB"/>
              </w:rPr>
              <w:t>Proposed IUC Programme Manager (management of Programme Support Unit)</w:t>
            </w:r>
          </w:p>
        </w:tc>
        <w:tc>
          <w:tcPr>
            <w:tcW w:w="4993" w:type="dxa"/>
            <w:gridSpan w:val="3"/>
            <w:tcBorders>
              <w:top w:val="single" w:sz="4" w:space="0" w:color="9FA585"/>
              <w:left w:val="single" w:sz="4" w:space="0" w:color="9FA585"/>
              <w:bottom w:val="single" w:sz="4" w:space="0" w:color="9FA585"/>
              <w:right w:val="single" w:sz="4" w:space="0" w:color="9FA585"/>
            </w:tcBorders>
          </w:tcPr>
          <w:p w14:paraId="0A5F3C37" w14:textId="77777777" w:rsidR="00E8470E" w:rsidRPr="00D034BF" w:rsidRDefault="00344C90" w:rsidP="00AB25A4">
            <w:pPr>
              <w:spacing w:after="0"/>
              <w:rPr>
                <w:sz w:val="18"/>
                <w:lang w:val="es-BO"/>
              </w:rPr>
            </w:pPr>
            <w:r w:rsidRPr="00D034BF">
              <w:rPr>
                <w:sz w:val="18"/>
                <w:lang w:val="es-BO"/>
              </w:rPr>
              <w:t>Beatriz Delgadillo</w:t>
            </w:r>
            <w:r w:rsidR="007A0094" w:rsidRPr="00D034BF">
              <w:rPr>
                <w:sz w:val="18"/>
                <w:lang w:val="es-BO"/>
              </w:rPr>
              <w:t xml:space="preserve"> Lara</w:t>
            </w:r>
          </w:p>
          <w:p w14:paraId="2ACB7A2E" w14:textId="77777777" w:rsidR="007A0094" w:rsidRPr="00D034BF" w:rsidRDefault="007A0094" w:rsidP="00AB25A4">
            <w:pPr>
              <w:keepNext/>
              <w:keepLines/>
              <w:spacing w:before="200" w:after="0"/>
              <w:outlineLvl w:val="7"/>
              <w:rPr>
                <w:sz w:val="18"/>
                <w:lang w:val="es-BO"/>
              </w:rPr>
            </w:pPr>
            <w:r w:rsidRPr="00D034BF">
              <w:rPr>
                <w:sz w:val="18"/>
                <w:lang w:val="es-BO"/>
              </w:rPr>
              <w:t>(591) 2-2782222 int. 2980</w:t>
            </w:r>
          </w:p>
          <w:p w14:paraId="5F36F6A6" w14:textId="67FAEE6D" w:rsidR="007A0094" w:rsidRPr="00D034BF" w:rsidRDefault="007A0094" w:rsidP="00AB25A4">
            <w:pPr>
              <w:keepNext/>
              <w:keepLines/>
              <w:spacing w:before="200" w:after="0"/>
              <w:outlineLvl w:val="7"/>
              <w:rPr>
                <w:sz w:val="18"/>
                <w:lang w:val="es-BO"/>
              </w:rPr>
            </w:pPr>
            <w:r w:rsidRPr="00D034BF">
              <w:rPr>
                <w:sz w:val="18"/>
                <w:lang w:val="es-BO"/>
              </w:rPr>
              <w:lastRenderedPageBreak/>
              <w:t>vlir.adm@ucb.edu.bo</w:t>
            </w:r>
          </w:p>
        </w:tc>
      </w:tr>
      <w:tr w:rsidR="005C37F2" w:rsidRPr="00114B17" w14:paraId="4724C5E4" w14:textId="77777777" w:rsidTr="00344C90">
        <w:trPr>
          <w:trHeight w:val="100"/>
        </w:trPr>
        <w:tc>
          <w:tcPr>
            <w:tcW w:w="4503" w:type="dxa"/>
            <w:tcBorders>
              <w:top w:val="single" w:sz="4" w:space="0" w:color="9FA585"/>
              <w:left w:val="single" w:sz="4" w:space="0" w:color="9FA585"/>
              <w:bottom w:val="single" w:sz="4" w:space="0" w:color="9FA585"/>
              <w:right w:val="single" w:sz="4" w:space="0" w:color="9FA585"/>
            </w:tcBorders>
          </w:tcPr>
          <w:p w14:paraId="761BBC14" w14:textId="77777777" w:rsidR="005C37F2" w:rsidRPr="00B05215" w:rsidRDefault="005C37F2" w:rsidP="00AB25A4">
            <w:pPr>
              <w:spacing w:after="0"/>
              <w:jc w:val="left"/>
              <w:rPr>
                <w:sz w:val="18"/>
                <w:lang w:val="en-GB"/>
              </w:rPr>
            </w:pPr>
            <w:r w:rsidRPr="00B05215">
              <w:rPr>
                <w:sz w:val="18"/>
                <w:lang w:val="en-GB"/>
              </w:rPr>
              <w:lastRenderedPageBreak/>
              <w:t>Statute of the institute (private or public)</w:t>
            </w:r>
          </w:p>
        </w:tc>
        <w:tc>
          <w:tcPr>
            <w:tcW w:w="4993" w:type="dxa"/>
            <w:gridSpan w:val="3"/>
            <w:tcBorders>
              <w:top w:val="single" w:sz="4" w:space="0" w:color="9FA585"/>
              <w:left w:val="single" w:sz="4" w:space="0" w:color="9FA585"/>
              <w:bottom w:val="single" w:sz="4" w:space="0" w:color="9FA585"/>
              <w:right w:val="single" w:sz="4" w:space="0" w:color="9FA585"/>
            </w:tcBorders>
          </w:tcPr>
          <w:p w14:paraId="210B3CB6" w14:textId="15590766" w:rsidR="005C37F2" w:rsidRPr="00B05215" w:rsidRDefault="00F84C41" w:rsidP="00AB25A4">
            <w:pPr>
              <w:spacing w:after="0"/>
              <w:rPr>
                <w:sz w:val="18"/>
                <w:lang w:val="en-GB"/>
              </w:rPr>
            </w:pPr>
            <w:r w:rsidRPr="00F84C41">
              <w:rPr>
                <w:sz w:val="18"/>
                <w:lang w:val="en-GB"/>
              </w:rPr>
              <w:t>Special-Regime. Non-profit and Public Right university</w:t>
            </w:r>
            <w:r w:rsidRPr="00F84C41" w:rsidDel="00F84C41">
              <w:rPr>
                <w:sz w:val="18"/>
                <w:lang w:val="en-GB"/>
              </w:rPr>
              <w:t xml:space="preserve"> </w:t>
            </w:r>
          </w:p>
        </w:tc>
      </w:tr>
      <w:tr w:rsidR="009F61ED" w:rsidRPr="00D6197F" w14:paraId="248A775A"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27A5F3E6" w14:textId="77777777" w:rsidR="009F61ED" w:rsidRPr="00493EE6" w:rsidRDefault="009F61ED" w:rsidP="00E8470E">
            <w:pPr>
              <w:spacing w:after="0"/>
              <w:rPr>
                <w:lang w:val="en-GB"/>
              </w:rPr>
            </w:pPr>
            <w:r w:rsidRPr="00493EE6">
              <w:rPr>
                <w:lang w:val="en-GB"/>
              </w:rPr>
              <w:t>Applying Flemish university</w:t>
            </w:r>
            <w:r w:rsidR="00E8470E" w:rsidRPr="00493EE6">
              <w:rPr>
                <w:lang w:val="en-GB"/>
              </w:rPr>
              <w:t xml:space="preserve"> </w:t>
            </w:r>
          </w:p>
        </w:tc>
      </w:tr>
      <w:tr w:rsidR="009F61ED" w:rsidRPr="00114B17" w14:paraId="7CB9F426" w14:textId="77777777" w:rsidTr="00692066">
        <w:trPr>
          <w:trHeight w:val="100"/>
        </w:trPr>
        <w:tc>
          <w:tcPr>
            <w:tcW w:w="4928" w:type="dxa"/>
            <w:gridSpan w:val="2"/>
            <w:tcBorders>
              <w:top w:val="single" w:sz="4" w:space="0" w:color="9FA585"/>
              <w:left w:val="single" w:sz="4" w:space="0" w:color="9FA585"/>
              <w:bottom w:val="single" w:sz="4" w:space="0" w:color="9FA585"/>
              <w:right w:val="single" w:sz="4" w:space="0" w:color="9FA585"/>
            </w:tcBorders>
          </w:tcPr>
          <w:p w14:paraId="6F118565" w14:textId="77777777" w:rsidR="009F61ED" w:rsidRPr="00493EE6" w:rsidRDefault="009F61ED" w:rsidP="00AB25A4">
            <w:pPr>
              <w:spacing w:after="0"/>
              <w:jc w:val="left"/>
              <w:rPr>
                <w:sz w:val="18"/>
                <w:lang w:val="en-GB"/>
              </w:rPr>
            </w:pPr>
            <w:r w:rsidRPr="00493EE6">
              <w:rPr>
                <w:sz w:val="18"/>
                <w:lang w:val="en-GB"/>
              </w:rPr>
              <w:t>Name, faculty, department and unit</w:t>
            </w:r>
          </w:p>
        </w:tc>
        <w:tc>
          <w:tcPr>
            <w:tcW w:w="4568" w:type="dxa"/>
            <w:gridSpan w:val="2"/>
            <w:tcBorders>
              <w:top w:val="single" w:sz="4" w:space="0" w:color="9FA585"/>
              <w:left w:val="single" w:sz="4" w:space="0" w:color="9FA585"/>
              <w:bottom w:val="single" w:sz="4" w:space="0" w:color="9FA585"/>
              <w:right w:val="single" w:sz="4" w:space="0" w:color="9FA585"/>
            </w:tcBorders>
          </w:tcPr>
          <w:p w14:paraId="0E375B65" w14:textId="77777777" w:rsidR="009F61ED" w:rsidRPr="00B05215" w:rsidRDefault="005815F0" w:rsidP="00F84C41">
            <w:pPr>
              <w:spacing w:after="0"/>
              <w:rPr>
                <w:sz w:val="18"/>
                <w:lang w:val="en-GB"/>
              </w:rPr>
            </w:pPr>
            <w:proofErr w:type="spellStart"/>
            <w:r>
              <w:rPr>
                <w:sz w:val="18"/>
                <w:lang w:val="en-GB"/>
              </w:rPr>
              <w:t>Vrije</w:t>
            </w:r>
            <w:proofErr w:type="spellEnd"/>
            <w:r>
              <w:rPr>
                <w:sz w:val="18"/>
                <w:lang w:val="en-GB"/>
              </w:rPr>
              <w:t xml:space="preserve"> </w:t>
            </w:r>
            <w:proofErr w:type="spellStart"/>
            <w:r>
              <w:rPr>
                <w:sz w:val="18"/>
                <w:lang w:val="en-GB"/>
              </w:rPr>
              <w:t>Universiteit</w:t>
            </w:r>
            <w:proofErr w:type="spellEnd"/>
            <w:r>
              <w:rPr>
                <w:sz w:val="18"/>
                <w:lang w:val="en-GB"/>
              </w:rPr>
              <w:t xml:space="preserve"> Brussel</w:t>
            </w:r>
            <w:r w:rsidR="00F84C41">
              <w:rPr>
                <w:sz w:val="18"/>
                <w:lang w:val="en-GB"/>
              </w:rPr>
              <w:t xml:space="preserve"> (VUB), Faculty of </w:t>
            </w:r>
            <w:r w:rsidR="00F84C41" w:rsidRPr="00F84C41">
              <w:rPr>
                <w:sz w:val="18"/>
                <w:lang w:val="en-GB"/>
              </w:rPr>
              <w:t>Ps</w:t>
            </w:r>
            <w:r w:rsidR="00F84C41">
              <w:rPr>
                <w:sz w:val="18"/>
                <w:lang w:val="en-GB"/>
              </w:rPr>
              <w:t>y</w:t>
            </w:r>
            <w:r w:rsidR="00F84C41" w:rsidRPr="00F84C41">
              <w:rPr>
                <w:sz w:val="18"/>
                <w:lang w:val="en-GB"/>
              </w:rPr>
              <w:t>c</w:t>
            </w:r>
            <w:r w:rsidR="00F84C41">
              <w:rPr>
                <w:sz w:val="18"/>
                <w:lang w:val="en-GB"/>
              </w:rPr>
              <w:t>h</w:t>
            </w:r>
            <w:r w:rsidR="00F84C41" w:rsidRPr="00F84C41">
              <w:rPr>
                <w:sz w:val="18"/>
                <w:lang w:val="en-GB"/>
              </w:rPr>
              <w:t>ology and Educational Sciences</w:t>
            </w:r>
            <w:r w:rsidR="00F84C41">
              <w:rPr>
                <w:sz w:val="18"/>
                <w:lang w:val="en-GB"/>
              </w:rPr>
              <w:t xml:space="preserve">, </w:t>
            </w:r>
            <w:r w:rsidR="00F84C41" w:rsidRPr="00F84C41">
              <w:rPr>
                <w:sz w:val="18"/>
                <w:lang w:val="en-GB"/>
              </w:rPr>
              <w:t>Research Group Interpersonal, Discursive and Narrative Studies (IDNS)</w:t>
            </w:r>
            <w:r w:rsidR="00F84C41">
              <w:rPr>
                <w:sz w:val="18"/>
                <w:lang w:val="en-GB"/>
              </w:rPr>
              <w:t xml:space="preserve"> </w:t>
            </w:r>
          </w:p>
        </w:tc>
      </w:tr>
      <w:tr w:rsidR="009F61ED" w:rsidRPr="00114B17" w14:paraId="57593283" w14:textId="77777777" w:rsidTr="00692066">
        <w:trPr>
          <w:trHeight w:val="100"/>
        </w:trPr>
        <w:tc>
          <w:tcPr>
            <w:tcW w:w="4928" w:type="dxa"/>
            <w:gridSpan w:val="2"/>
            <w:tcBorders>
              <w:top w:val="single" w:sz="4" w:space="0" w:color="9FA585"/>
              <w:left w:val="single" w:sz="4" w:space="0" w:color="9FA585"/>
              <w:bottom w:val="single" w:sz="4" w:space="0" w:color="9FA585"/>
              <w:right w:val="single" w:sz="4" w:space="0" w:color="9FA585"/>
            </w:tcBorders>
          </w:tcPr>
          <w:p w14:paraId="04D85A6F" w14:textId="77777777" w:rsidR="009F61ED" w:rsidRPr="00493EE6" w:rsidRDefault="00E8470E" w:rsidP="0096252A">
            <w:pPr>
              <w:spacing w:after="0"/>
              <w:jc w:val="left"/>
              <w:rPr>
                <w:sz w:val="18"/>
                <w:lang w:val="en-GB"/>
              </w:rPr>
            </w:pPr>
            <w:r w:rsidRPr="00493EE6">
              <w:rPr>
                <w:sz w:val="18"/>
                <w:lang w:val="en-GB"/>
              </w:rPr>
              <w:t xml:space="preserve">Flemish </w:t>
            </w:r>
            <w:r w:rsidR="00692066" w:rsidRPr="00493EE6">
              <w:rPr>
                <w:sz w:val="18"/>
                <w:lang w:val="en-GB"/>
              </w:rPr>
              <w:t xml:space="preserve">Coordinator </w:t>
            </w:r>
          </w:p>
          <w:p w14:paraId="7B11F4EA" w14:textId="77777777" w:rsidR="009F61ED" w:rsidRPr="00493EE6" w:rsidRDefault="009F61ED" w:rsidP="00C60F2F">
            <w:pPr>
              <w:spacing w:after="0"/>
              <w:jc w:val="left"/>
              <w:rPr>
                <w:sz w:val="18"/>
                <w:lang w:val="en-GB"/>
              </w:rPr>
            </w:pPr>
            <w:r w:rsidRPr="00493EE6">
              <w:rPr>
                <w:i/>
                <w:sz w:val="18"/>
                <w:lang w:val="en-GB"/>
              </w:rPr>
              <w:t>(Name, address, phone, e-mail address, function)</w:t>
            </w:r>
          </w:p>
        </w:tc>
        <w:tc>
          <w:tcPr>
            <w:tcW w:w="4568" w:type="dxa"/>
            <w:gridSpan w:val="2"/>
            <w:tcBorders>
              <w:top w:val="single" w:sz="4" w:space="0" w:color="9FA585"/>
              <w:left w:val="single" w:sz="4" w:space="0" w:color="9FA585"/>
              <w:bottom w:val="single" w:sz="4" w:space="0" w:color="9FA585"/>
              <w:right w:val="single" w:sz="4" w:space="0" w:color="9FA585"/>
            </w:tcBorders>
          </w:tcPr>
          <w:p w14:paraId="7AEDB5BB" w14:textId="77777777" w:rsidR="00F84C41" w:rsidRPr="0071757C" w:rsidRDefault="00F84C41" w:rsidP="00F84C41">
            <w:pPr>
              <w:spacing w:after="0"/>
              <w:jc w:val="left"/>
              <w:rPr>
                <w:sz w:val="18"/>
              </w:rPr>
            </w:pPr>
            <w:r w:rsidRPr="0071757C">
              <w:rPr>
                <w:sz w:val="18"/>
              </w:rPr>
              <w:t xml:space="preserve">Gerrit Loots, </w:t>
            </w:r>
          </w:p>
          <w:p w14:paraId="0C61C989" w14:textId="3E47E09D" w:rsidR="00F84C41" w:rsidRPr="0071757C" w:rsidRDefault="00F84C41" w:rsidP="00F84C41">
            <w:pPr>
              <w:spacing w:after="0"/>
              <w:jc w:val="left"/>
              <w:rPr>
                <w:sz w:val="18"/>
              </w:rPr>
            </w:pPr>
            <w:r w:rsidRPr="0071757C">
              <w:rPr>
                <w:sz w:val="18"/>
              </w:rPr>
              <w:t>Pleinlaan 2, 1050 Brussels, Belgium</w:t>
            </w:r>
          </w:p>
          <w:p w14:paraId="1E7D5753" w14:textId="77777777" w:rsidR="00F84C41" w:rsidRPr="00114B17" w:rsidRDefault="00F84C41" w:rsidP="00F84C41">
            <w:pPr>
              <w:spacing w:after="0"/>
              <w:jc w:val="left"/>
              <w:rPr>
                <w:sz w:val="18"/>
              </w:rPr>
            </w:pPr>
            <w:r w:rsidRPr="00114B17">
              <w:rPr>
                <w:sz w:val="18"/>
              </w:rPr>
              <w:t>476973331</w:t>
            </w:r>
          </w:p>
          <w:p w14:paraId="498BDABA" w14:textId="77777777" w:rsidR="00F84C41" w:rsidRPr="00F84C41" w:rsidRDefault="00F84C41" w:rsidP="00F84C41">
            <w:pPr>
              <w:spacing w:after="0"/>
              <w:jc w:val="left"/>
              <w:rPr>
                <w:sz w:val="18"/>
                <w:lang w:val="en-GB"/>
              </w:rPr>
            </w:pPr>
            <w:r w:rsidRPr="00F84C41">
              <w:rPr>
                <w:sz w:val="18"/>
                <w:lang w:val="en-GB"/>
              </w:rPr>
              <w:t>gerrit.loots@vub.ac.be</w:t>
            </w:r>
          </w:p>
          <w:p w14:paraId="725238C8" w14:textId="063F2108" w:rsidR="005815F0" w:rsidRPr="0071757C" w:rsidRDefault="00F84C41" w:rsidP="0096252A">
            <w:pPr>
              <w:spacing w:after="0"/>
              <w:rPr>
                <w:sz w:val="18"/>
                <w:lang w:val="en-GB"/>
              </w:rPr>
            </w:pPr>
            <w:r w:rsidRPr="00F84C41">
              <w:rPr>
                <w:sz w:val="18"/>
                <w:lang w:val="en-GB"/>
              </w:rPr>
              <w:t>Head of the Research Group IDNS</w:t>
            </w:r>
            <w:r w:rsidRPr="0071757C" w:rsidDel="00F84C41">
              <w:rPr>
                <w:sz w:val="18"/>
                <w:lang w:val="en-GB"/>
              </w:rPr>
              <w:t xml:space="preserve"> </w:t>
            </w:r>
          </w:p>
        </w:tc>
      </w:tr>
      <w:tr w:rsidR="009F61ED" w:rsidRPr="00D6197F" w14:paraId="708334FC" w14:textId="77777777" w:rsidTr="00692066">
        <w:trPr>
          <w:trHeight w:val="100"/>
        </w:trPr>
        <w:tc>
          <w:tcPr>
            <w:tcW w:w="4928" w:type="dxa"/>
            <w:gridSpan w:val="2"/>
            <w:tcBorders>
              <w:top w:val="single" w:sz="4" w:space="0" w:color="9FA585"/>
              <w:left w:val="single" w:sz="4" w:space="0" w:color="9FA585"/>
              <w:bottom w:val="single" w:sz="4" w:space="0" w:color="9FA585"/>
              <w:right w:val="single" w:sz="4" w:space="0" w:color="9FA585"/>
            </w:tcBorders>
          </w:tcPr>
          <w:p w14:paraId="13F3AE20" w14:textId="77777777" w:rsidR="009F61ED" w:rsidRPr="00493EE6" w:rsidRDefault="00E8470E" w:rsidP="0096252A">
            <w:pPr>
              <w:spacing w:after="0"/>
              <w:jc w:val="left"/>
              <w:rPr>
                <w:sz w:val="18"/>
                <w:lang w:val="en-GB"/>
              </w:rPr>
            </w:pPr>
            <w:r w:rsidRPr="00493EE6">
              <w:rPr>
                <w:sz w:val="18"/>
                <w:lang w:val="en-GB"/>
              </w:rPr>
              <w:t>ICOS of the Flemish university responsible for follow-up</w:t>
            </w:r>
            <w:r w:rsidR="009F61ED" w:rsidRPr="00493EE6">
              <w:rPr>
                <w:sz w:val="18"/>
                <w:lang w:val="en-GB"/>
              </w:rPr>
              <w:t xml:space="preserve"> </w:t>
            </w:r>
          </w:p>
          <w:p w14:paraId="066BAFA3" w14:textId="77777777" w:rsidR="009F61ED" w:rsidRPr="00493EE6" w:rsidRDefault="009F61ED" w:rsidP="00E8470E">
            <w:pPr>
              <w:spacing w:after="0"/>
              <w:jc w:val="left"/>
              <w:rPr>
                <w:sz w:val="18"/>
                <w:lang w:val="en-GB"/>
              </w:rPr>
            </w:pPr>
            <w:r w:rsidRPr="00493EE6">
              <w:rPr>
                <w:i/>
                <w:sz w:val="18"/>
                <w:lang w:val="en-GB"/>
              </w:rPr>
              <w:t xml:space="preserve">(Name, </w:t>
            </w:r>
            <w:r w:rsidR="00E8470E" w:rsidRPr="00493EE6">
              <w:rPr>
                <w:i/>
                <w:sz w:val="18"/>
                <w:lang w:val="en-GB"/>
              </w:rPr>
              <w:t>phone, e-mail</w:t>
            </w:r>
            <w:r w:rsidRPr="00493EE6">
              <w:rPr>
                <w:i/>
                <w:sz w:val="18"/>
                <w:lang w:val="en-GB"/>
              </w:rPr>
              <w:t>)</w:t>
            </w:r>
          </w:p>
        </w:tc>
        <w:tc>
          <w:tcPr>
            <w:tcW w:w="4568" w:type="dxa"/>
            <w:gridSpan w:val="2"/>
            <w:tcBorders>
              <w:top w:val="single" w:sz="4" w:space="0" w:color="9FA585"/>
              <w:left w:val="single" w:sz="4" w:space="0" w:color="9FA585"/>
              <w:bottom w:val="single" w:sz="4" w:space="0" w:color="9FA585"/>
              <w:right w:val="single" w:sz="4" w:space="0" w:color="9FA585"/>
            </w:tcBorders>
          </w:tcPr>
          <w:p w14:paraId="6C3DA18E" w14:textId="77777777" w:rsidR="009F61ED" w:rsidRPr="001E54B6" w:rsidRDefault="005815F0" w:rsidP="00AB25A4">
            <w:pPr>
              <w:spacing w:after="0"/>
              <w:rPr>
                <w:sz w:val="18"/>
                <w:lang w:val="fr-BE"/>
              </w:rPr>
            </w:pPr>
            <w:r w:rsidRPr="001E54B6">
              <w:rPr>
                <w:sz w:val="18"/>
                <w:lang w:val="fr-BE"/>
              </w:rPr>
              <w:t>Jannes Motmans</w:t>
            </w:r>
          </w:p>
          <w:p w14:paraId="136BBE46" w14:textId="77777777" w:rsidR="005815F0" w:rsidRPr="001E54B6" w:rsidRDefault="008D084B" w:rsidP="00AB25A4">
            <w:pPr>
              <w:spacing w:after="0"/>
              <w:rPr>
                <w:sz w:val="18"/>
                <w:lang w:val="fr-BE"/>
              </w:rPr>
            </w:pPr>
            <w:hyperlink r:id="rId11" w:history="1">
              <w:r w:rsidR="005815F0" w:rsidRPr="001E54B6">
                <w:rPr>
                  <w:rStyle w:val="Hyperlink"/>
                  <w:sz w:val="18"/>
                  <w:lang w:val="fr-BE"/>
                </w:rPr>
                <w:t>Jannes.motmans@vub.ac.be</w:t>
              </w:r>
            </w:hyperlink>
          </w:p>
          <w:p w14:paraId="276F364F" w14:textId="77777777" w:rsidR="005815F0" w:rsidRPr="00B05215" w:rsidRDefault="005815F0" w:rsidP="00AB25A4">
            <w:pPr>
              <w:spacing w:after="0"/>
              <w:rPr>
                <w:sz w:val="18"/>
                <w:lang w:val="en-GB"/>
              </w:rPr>
            </w:pPr>
            <w:r>
              <w:rPr>
                <w:sz w:val="18"/>
                <w:lang w:val="en-GB"/>
              </w:rPr>
              <w:t>02 614 80 66</w:t>
            </w:r>
          </w:p>
        </w:tc>
      </w:tr>
      <w:tr w:rsidR="009F61ED" w:rsidRPr="00114B17" w14:paraId="61C09DC2" w14:textId="77777777" w:rsidTr="00692066">
        <w:trPr>
          <w:trHeight w:val="100"/>
        </w:trPr>
        <w:tc>
          <w:tcPr>
            <w:tcW w:w="4928" w:type="dxa"/>
            <w:gridSpan w:val="2"/>
            <w:tcBorders>
              <w:top w:val="single" w:sz="4" w:space="0" w:color="9FA585"/>
              <w:left w:val="single" w:sz="4" w:space="0" w:color="9FA585"/>
              <w:bottom w:val="single" w:sz="4" w:space="0" w:color="9FA585"/>
              <w:right w:val="single" w:sz="4" w:space="0" w:color="9FA585"/>
            </w:tcBorders>
          </w:tcPr>
          <w:p w14:paraId="7494A1E7" w14:textId="77777777" w:rsidR="009F61ED" w:rsidRPr="00493EE6" w:rsidRDefault="009F61ED" w:rsidP="0096252A">
            <w:pPr>
              <w:spacing w:after="0"/>
              <w:jc w:val="left"/>
              <w:rPr>
                <w:sz w:val="18"/>
                <w:lang w:val="en-GB"/>
              </w:rPr>
            </w:pPr>
            <w:r w:rsidRPr="00493EE6">
              <w:rPr>
                <w:sz w:val="18"/>
                <w:lang w:val="en-GB"/>
              </w:rPr>
              <w:t>Financial/administrative project officer (if applicable</w:t>
            </w:r>
            <w:r w:rsidR="0003617B" w:rsidRPr="00493EE6">
              <w:rPr>
                <w:sz w:val="18"/>
                <w:lang w:val="en-GB"/>
              </w:rPr>
              <w:t>)</w:t>
            </w:r>
            <w:r w:rsidRPr="00493EE6">
              <w:rPr>
                <w:sz w:val="18"/>
                <w:lang w:val="en-GB"/>
              </w:rPr>
              <w:t xml:space="preserve"> </w:t>
            </w:r>
          </w:p>
          <w:p w14:paraId="05140C97" w14:textId="77777777" w:rsidR="009F61ED" w:rsidRPr="00493EE6" w:rsidRDefault="009F61ED" w:rsidP="00E8470E">
            <w:pPr>
              <w:spacing w:after="0"/>
              <w:jc w:val="left"/>
              <w:rPr>
                <w:sz w:val="18"/>
                <w:lang w:val="en-GB"/>
              </w:rPr>
            </w:pPr>
            <w:r w:rsidRPr="00493EE6">
              <w:rPr>
                <w:i/>
                <w:sz w:val="18"/>
                <w:lang w:val="en-GB"/>
              </w:rPr>
              <w:t>(Name, e-mail)</w:t>
            </w:r>
          </w:p>
        </w:tc>
        <w:tc>
          <w:tcPr>
            <w:tcW w:w="4568" w:type="dxa"/>
            <w:gridSpan w:val="2"/>
            <w:tcBorders>
              <w:top w:val="single" w:sz="4" w:space="0" w:color="9FA585"/>
              <w:left w:val="single" w:sz="4" w:space="0" w:color="9FA585"/>
              <w:bottom w:val="single" w:sz="4" w:space="0" w:color="9FA585"/>
              <w:right w:val="single" w:sz="4" w:space="0" w:color="9FA585"/>
            </w:tcBorders>
          </w:tcPr>
          <w:p w14:paraId="6D339F18" w14:textId="77777777" w:rsidR="009F61ED" w:rsidRDefault="005815F0" w:rsidP="00AB25A4">
            <w:pPr>
              <w:spacing w:after="0"/>
              <w:rPr>
                <w:sz w:val="18"/>
                <w:lang w:val="en-GB"/>
              </w:rPr>
            </w:pPr>
            <w:r>
              <w:rPr>
                <w:sz w:val="18"/>
                <w:lang w:val="en-GB"/>
              </w:rPr>
              <w:t>Shana Cocqueriaux</w:t>
            </w:r>
          </w:p>
          <w:p w14:paraId="706B5C4B" w14:textId="77777777" w:rsidR="005815F0" w:rsidRPr="00B05215" w:rsidRDefault="005815F0" w:rsidP="00AB25A4">
            <w:pPr>
              <w:spacing w:after="0"/>
              <w:rPr>
                <w:sz w:val="18"/>
                <w:lang w:val="en-GB"/>
              </w:rPr>
            </w:pPr>
            <w:r>
              <w:rPr>
                <w:sz w:val="18"/>
                <w:lang w:val="en-GB"/>
              </w:rPr>
              <w:t>Shana.cocqueriaux@vub.ac.be</w:t>
            </w:r>
          </w:p>
        </w:tc>
      </w:tr>
      <w:tr w:rsidR="009F61ED" w:rsidRPr="00114B17" w14:paraId="4C1AD818" w14:textId="77777777" w:rsidTr="00692066">
        <w:tc>
          <w:tcPr>
            <w:tcW w:w="9496" w:type="dxa"/>
            <w:gridSpan w:val="4"/>
            <w:tcBorders>
              <w:top w:val="single" w:sz="4" w:space="0" w:color="9FA585"/>
              <w:left w:val="single" w:sz="4" w:space="0" w:color="9FA585"/>
              <w:bottom w:val="single" w:sz="4" w:space="0" w:color="9FA585"/>
              <w:right w:val="single" w:sz="4" w:space="0" w:color="9FA585"/>
            </w:tcBorders>
            <w:shd w:val="clear" w:color="auto" w:fill="C0C4B0"/>
          </w:tcPr>
          <w:p w14:paraId="357106B3" w14:textId="77777777" w:rsidR="009F61ED" w:rsidRPr="00B05215" w:rsidRDefault="009F61ED" w:rsidP="00E8470E">
            <w:pPr>
              <w:spacing w:after="0"/>
              <w:rPr>
                <w:lang w:val="en-GB"/>
              </w:rPr>
            </w:pPr>
            <w:r w:rsidRPr="00B05215">
              <w:rPr>
                <w:lang w:val="en-GB"/>
              </w:rPr>
              <w:t xml:space="preserve">Total budget requested from VLIR-UOS </w:t>
            </w:r>
            <w:r w:rsidRPr="00B05215">
              <w:rPr>
                <w:i/>
                <w:sz w:val="18"/>
                <w:lang w:val="en-GB"/>
              </w:rPr>
              <w:t xml:space="preserve">(in € for the full duration of the project) (€ </w:t>
            </w:r>
            <w:r w:rsidR="00B14252">
              <w:rPr>
                <w:i/>
                <w:sz w:val="18"/>
                <w:lang w:val="en-GB"/>
              </w:rPr>
              <w:t>15</w:t>
            </w:r>
            <w:r w:rsidR="00E8470E">
              <w:rPr>
                <w:i/>
                <w:sz w:val="18"/>
                <w:lang w:val="en-GB"/>
              </w:rPr>
              <w:t>0</w:t>
            </w:r>
            <w:r w:rsidRPr="00B05215">
              <w:rPr>
                <w:i/>
                <w:sz w:val="18"/>
                <w:lang w:val="en-GB"/>
              </w:rPr>
              <w:t>.000)</w:t>
            </w:r>
          </w:p>
        </w:tc>
      </w:tr>
      <w:tr w:rsidR="009F61ED" w:rsidRPr="00B05215" w14:paraId="20A35A70" w14:textId="77777777" w:rsidTr="00692066">
        <w:trPr>
          <w:trHeight w:val="100"/>
        </w:trPr>
        <w:tc>
          <w:tcPr>
            <w:tcW w:w="4928" w:type="dxa"/>
            <w:gridSpan w:val="2"/>
            <w:tcBorders>
              <w:top w:val="single" w:sz="4" w:space="0" w:color="9FA585"/>
              <w:left w:val="single" w:sz="4" w:space="0" w:color="9FA585"/>
              <w:bottom w:val="single" w:sz="4" w:space="0" w:color="9FA585"/>
              <w:right w:val="single" w:sz="4" w:space="0" w:color="9FA585"/>
            </w:tcBorders>
          </w:tcPr>
          <w:p w14:paraId="3CE0ED1B" w14:textId="77777777" w:rsidR="009F61ED" w:rsidRPr="00B05215" w:rsidRDefault="009F61ED" w:rsidP="00195C0F">
            <w:pPr>
              <w:spacing w:after="0"/>
              <w:ind w:left="360" w:hanging="360"/>
              <w:jc w:val="left"/>
              <w:rPr>
                <w:sz w:val="18"/>
                <w:lang w:val="en-GB"/>
              </w:rPr>
            </w:pPr>
            <w:r w:rsidRPr="00B05215">
              <w:rPr>
                <w:sz w:val="18"/>
                <w:lang w:val="en-GB"/>
              </w:rPr>
              <w:t>Total budget (indicative)</w:t>
            </w:r>
          </w:p>
        </w:tc>
        <w:tc>
          <w:tcPr>
            <w:tcW w:w="4568" w:type="dxa"/>
            <w:gridSpan w:val="2"/>
            <w:tcBorders>
              <w:top w:val="single" w:sz="4" w:space="0" w:color="9FA585"/>
              <w:left w:val="single" w:sz="4" w:space="0" w:color="9FA585"/>
              <w:bottom w:val="single" w:sz="4" w:space="0" w:color="9FA585"/>
              <w:right w:val="single" w:sz="4" w:space="0" w:color="9FA585"/>
            </w:tcBorders>
          </w:tcPr>
          <w:p w14:paraId="1BF4FD3A" w14:textId="77777777" w:rsidR="009F61ED" w:rsidRPr="00B05215" w:rsidRDefault="009F61ED" w:rsidP="00195C0F">
            <w:pPr>
              <w:spacing w:after="0"/>
              <w:rPr>
                <w:sz w:val="18"/>
                <w:lang w:val="en-GB"/>
              </w:rPr>
            </w:pPr>
          </w:p>
        </w:tc>
      </w:tr>
      <w:tr w:rsidR="00F504F0" w:rsidRPr="00114B17" w14:paraId="350FF0FE" w14:textId="77777777" w:rsidTr="00323CA8">
        <w:trPr>
          <w:trHeight w:val="100"/>
        </w:trPr>
        <w:tc>
          <w:tcPr>
            <w:tcW w:w="9496" w:type="dxa"/>
            <w:gridSpan w:val="4"/>
            <w:tcBorders>
              <w:top w:val="single" w:sz="4" w:space="0" w:color="9FA585"/>
              <w:left w:val="single" w:sz="4" w:space="0" w:color="9FA585"/>
              <w:bottom w:val="nil"/>
              <w:right w:val="single" w:sz="4" w:space="0" w:color="9FA585"/>
            </w:tcBorders>
          </w:tcPr>
          <w:p w14:paraId="35D12F4A" w14:textId="77777777" w:rsidR="00F504F0" w:rsidRPr="00B05215" w:rsidRDefault="00F504F0" w:rsidP="00195C0F">
            <w:pPr>
              <w:spacing w:after="0"/>
              <w:jc w:val="left"/>
              <w:rPr>
                <w:sz w:val="18"/>
                <w:lang w:val="en-GB"/>
              </w:rPr>
            </w:pPr>
            <w:r>
              <w:rPr>
                <w:sz w:val="18"/>
                <w:lang w:val="en-GB"/>
              </w:rPr>
              <w:t>Budget divided over the different budget lines:</w:t>
            </w:r>
          </w:p>
        </w:tc>
      </w:tr>
      <w:tr w:rsidR="00F504F0" w:rsidRPr="00D6197F" w14:paraId="1674757D" w14:textId="77777777" w:rsidTr="00323CA8">
        <w:trPr>
          <w:trHeight w:val="100"/>
        </w:trPr>
        <w:tc>
          <w:tcPr>
            <w:tcW w:w="4928" w:type="dxa"/>
            <w:gridSpan w:val="2"/>
            <w:tcBorders>
              <w:top w:val="nil"/>
              <w:left w:val="single" w:sz="4" w:space="0" w:color="9FA585"/>
              <w:bottom w:val="nil"/>
              <w:right w:val="nil"/>
            </w:tcBorders>
          </w:tcPr>
          <w:p w14:paraId="3F9D0236" w14:textId="77777777" w:rsidR="00F504F0" w:rsidRPr="00B05215" w:rsidRDefault="00F504F0" w:rsidP="00F504F0">
            <w:pPr>
              <w:spacing w:after="0"/>
              <w:ind w:left="708"/>
              <w:jc w:val="left"/>
              <w:rPr>
                <w:sz w:val="18"/>
                <w:lang w:val="en-GB"/>
              </w:rPr>
            </w:pPr>
            <w:r>
              <w:rPr>
                <w:sz w:val="18"/>
                <w:lang w:val="en-GB"/>
              </w:rPr>
              <w:t>BUDGET LINES</w:t>
            </w:r>
          </w:p>
        </w:tc>
        <w:tc>
          <w:tcPr>
            <w:tcW w:w="2297" w:type="dxa"/>
            <w:tcBorders>
              <w:top w:val="nil"/>
              <w:left w:val="nil"/>
              <w:bottom w:val="nil"/>
              <w:right w:val="nil"/>
            </w:tcBorders>
          </w:tcPr>
          <w:p w14:paraId="056AA577" w14:textId="77777777" w:rsidR="00F504F0" w:rsidRPr="00B05215" w:rsidRDefault="0041303D" w:rsidP="00F504F0">
            <w:pPr>
              <w:spacing w:after="0"/>
              <w:jc w:val="center"/>
              <w:rPr>
                <w:sz w:val="18"/>
                <w:lang w:val="en-GB"/>
              </w:rPr>
            </w:pPr>
            <w:r>
              <w:rPr>
                <w:sz w:val="18"/>
                <w:lang w:val="en-GB"/>
              </w:rPr>
              <w:t>AP 2015</w:t>
            </w:r>
          </w:p>
        </w:tc>
        <w:tc>
          <w:tcPr>
            <w:tcW w:w="2271" w:type="dxa"/>
            <w:tcBorders>
              <w:top w:val="nil"/>
              <w:left w:val="nil"/>
              <w:bottom w:val="nil"/>
              <w:right w:val="single" w:sz="4" w:space="0" w:color="9FA585"/>
            </w:tcBorders>
          </w:tcPr>
          <w:p w14:paraId="675A8385" w14:textId="77777777" w:rsidR="00F504F0" w:rsidRPr="00B05215" w:rsidRDefault="0041303D" w:rsidP="00F504F0">
            <w:pPr>
              <w:spacing w:after="0"/>
              <w:jc w:val="center"/>
              <w:rPr>
                <w:sz w:val="18"/>
                <w:lang w:val="en-GB"/>
              </w:rPr>
            </w:pPr>
            <w:r>
              <w:rPr>
                <w:sz w:val="18"/>
                <w:lang w:val="en-GB"/>
              </w:rPr>
              <w:t>AP 2016</w:t>
            </w:r>
          </w:p>
        </w:tc>
      </w:tr>
      <w:tr w:rsidR="00F504F0" w:rsidRPr="00D6197F" w14:paraId="37D9CA51" w14:textId="77777777" w:rsidTr="00323CA8">
        <w:trPr>
          <w:trHeight w:val="100"/>
        </w:trPr>
        <w:tc>
          <w:tcPr>
            <w:tcW w:w="4928" w:type="dxa"/>
            <w:gridSpan w:val="2"/>
            <w:tcBorders>
              <w:top w:val="nil"/>
              <w:left w:val="single" w:sz="4" w:space="0" w:color="9FA585"/>
              <w:bottom w:val="nil"/>
              <w:right w:val="nil"/>
            </w:tcBorders>
            <w:vAlign w:val="center"/>
          </w:tcPr>
          <w:p w14:paraId="0CCBECAB" w14:textId="3EE2F6B7" w:rsidR="00F504F0" w:rsidRPr="00F504F0" w:rsidRDefault="00F504F0" w:rsidP="00F504F0">
            <w:pPr>
              <w:pStyle w:val="ListParagraph"/>
              <w:numPr>
                <w:ilvl w:val="1"/>
                <w:numId w:val="16"/>
              </w:numPr>
              <w:jc w:val="left"/>
              <w:rPr>
                <w:sz w:val="18"/>
                <w:lang w:val="en-GB"/>
              </w:rPr>
            </w:pPr>
            <w:r>
              <w:rPr>
                <w:sz w:val="18"/>
                <w:lang w:val="en-GB"/>
              </w:rPr>
              <w:t xml:space="preserve">A </w:t>
            </w:r>
            <w:r w:rsidR="00794B0A">
              <w:rPr>
                <w:sz w:val="18"/>
                <w:lang w:val="en-GB"/>
              </w:rPr>
              <w:t>–</w:t>
            </w:r>
            <w:r>
              <w:rPr>
                <w:sz w:val="18"/>
                <w:lang w:val="en-GB"/>
              </w:rPr>
              <w:t xml:space="preserve"> E</w:t>
            </w:r>
          </w:p>
        </w:tc>
        <w:tc>
          <w:tcPr>
            <w:tcW w:w="2297" w:type="dxa"/>
            <w:tcBorders>
              <w:top w:val="nil"/>
              <w:left w:val="nil"/>
              <w:bottom w:val="nil"/>
              <w:right w:val="nil"/>
            </w:tcBorders>
            <w:vAlign w:val="center"/>
          </w:tcPr>
          <w:p w14:paraId="06430EB4" w14:textId="77777777" w:rsidR="00F504F0" w:rsidRPr="00F504F0" w:rsidRDefault="00F504F0" w:rsidP="00F504F0">
            <w:pPr>
              <w:spacing w:before="120" w:after="0"/>
              <w:ind w:left="357" w:hanging="357"/>
              <w:jc w:val="center"/>
              <w:rPr>
                <w:sz w:val="18"/>
                <w:lang w:val="en-GB"/>
              </w:rPr>
            </w:pPr>
            <w:r w:rsidRPr="00F504F0">
              <w:rPr>
                <w:sz w:val="18"/>
                <w:lang w:val="en-GB"/>
              </w:rPr>
              <w:t>45.000</w:t>
            </w:r>
          </w:p>
        </w:tc>
        <w:tc>
          <w:tcPr>
            <w:tcW w:w="2271" w:type="dxa"/>
            <w:tcBorders>
              <w:top w:val="nil"/>
              <w:left w:val="nil"/>
              <w:bottom w:val="nil"/>
              <w:right w:val="single" w:sz="4" w:space="0" w:color="9FA585"/>
            </w:tcBorders>
            <w:vAlign w:val="center"/>
          </w:tcPr>
          <w:p w14:paraId="5597B3CE" w14:textId="77777777" w:rsidR="00F504F0" w:rsidRDefault="00F504F0" w:rsidP="00F504F0">
            <w:pPr>
              <w:spacing w:before="120" w:after="0"/>
              <w:jc w:val="center"/>
              <w:rPr>
                <w:sz w:val="18"/>
                <w:lang w:val="en-GB"/>
              </w:rPr>
            </w:pPr>
            <w:r>
              <w:rPr>
                <w:sz w:val="18"/>
                <w:lang w:val="en-GB"/>
              </w:rPr>
              <w:t>90.000</w:t>
            </w:r>
          </w:p>
        </w:tc>
      </w:tr>
      <w:tr w:rsidR="00F504F0" w:rsidRPr="00F504F0" w14:paraId="068FDC57" w14:textId="77777777" w:rsidTr="00F504F0">
        <w:trPr>
          <w:trHeight w:val="100"/>
        </w:trPr>
        <w:tc>
          <w:tcPr>
            <w:tcW w:w="4928" w:type="dxa"/>
            <w:gridSpan w:val="2"/>
            <w:tcBorders>
              <w:top w:val="nil"/>
              <w:left w:val="single" w:sz="4" w:space="0" w:color="9FA585"/>
              <w:bottom w:val="nil"/>
              <w:right w:val="nil"/>
            </w:tcBorders>
            <w:vAlign w:val="center"/>
          </w:tcPr>
          <w:p w14:paraId="39334F28" w14:textId="77777777" w:rsidR="00F504F0" w:rsidRDefault="00F504F0" w:rsidP="00F504F0">
            <w:pPr>
              <w:pStyle w:val="ListParagraph"/>
              <w:numPr>
                <w:ilvl w:val="1"/>
                <w:numId w:val="16"/>
              </w:numPr>
              <w:jc w:val="left"/>
              <w:rPr>
                <w:sz w:val="18"/>
                <w:lang w:val="en-GB"/>
              </w:rPr>
            </w:pPr>
            <w:r>
              <w:rPr>
                <w:sz w:val="18"/>
                <w:lang w:val="en-GB"/>
              </w:rPr>
              <w:t xml:space="preserve">E.1. </w:t>
            </w:r>
            <w:r w:rsidRPr="00F504F0">
              <w:rPr>
                <w:sz w:val="18"/>
                <w:lang w:val="en-GB"/>
              </w:rPr>
              <w:t xml:space="preserve">Coordination costs for Flemish </w:t>
            </w:r>
            <w:r w:rsidR="0041303D">
              <w:rPr>
                <w:sz w:val="18"/>
                <w:lang w:val="en-GB"/>
              </w:rPr>
              <w:t>institution (5 % lump sum on to</w:t>
            </w:r>
            <w:r w:rsidRPr="00F504F0">
              <w:rPr>
                <w:sz w:val="18"/>
                <w:lang w:val="en-GB"/>
              </w:rPr>
              <w:t>tal budget A-E)</w:t>
            </w:r>
          </w:p>
        </w:tc>
        <w:tc>
          <w:tcPr>
            <w:tcW w:w="2297" w:type="dxa"/>
            <w:tcBorders>
              <w:top w:val="nil"/>
              <w:left w:val="nil"/>
              <w:bottom w:val="nil"/>
              <w:right w:val="nil"/>
            </w:tcBorders>
          </w:tcPr>
          <w:p w14:paraId="0070812F" w14:textId="77777777" w:rsidR="00F504F0" w:rsidRDefault="00F504F0" w:rsidP="00F504F0">
            <w:pPr>
              <w:spacing w:before="120" w:after="0"/>
              <w:jc w:val="center"/>
              <w:rPr>
                <w:sz w:val="18"/>
                <w:lang w:val="en-GB"/>
              </w:rPr>
            </w:pPr>
            <w:r>
              <w:rPr>
                <w:sz w:val="18"/>
                <w:lang w:val="en-GB"/>
              </w:rPr>
              <w:t>2.500</w:t>
            </w:r>
          </w:p>
        </w:tc>
        <w:tc>
          <w:tcPr>
            <w:tcW w:w="2271" w:type="dxa"/>
            <w:tcBorders>
              <w:top w:val="nil"/>
              <w:left w:val="nil"/>
              <w:bottom w:val="nil"/>
              <w:right w:val="single" w:sz="4" w:space="0" w:color="9FA585"/>
            </w:tcBorders>
          </w:tcPr>
          <w:p w14:paraId="77189EC5" w14:textId="77777777" w:rsidR="00F504F0" w:rsidRDefault="00F504F0" w:rsidP="00F504F0">
            <w:pPr>
              <w:spacing w:before="120" w:after="0"/>
              <w:jc w:val="center"/>
              <w:rPr>
                <w:sz w:val="18"/>
                <w:lang w:val="en-GB"/>
              </w:rPr>
            </w:pPr>
            <w:r>
              <w:rPr>
                <w:sz w:val="18"/>
                <w:lang w:val="en-GB"/>
              </w:rPr>
              <w:t>5.000</w:t>
            </w:r>
          </w:p>
        </w:tc>
      </w:tr>
      <w:tr w:rsidR="00C54542" w:rsidRPr="00F504F0" w14:paraId="60974EF2" w14:textId="77777777" w:rsidTr="00F504F0">
        <w:trPr>
          <w:trHeight w:val="100"/>
        </w:trPr>
        <w:tc>
          <w:tcPr>
            <w:tcW w:w="4928" w:type="dxa"/>
            <w:gridSpan w:val="2"/>
            <w:tcBorders>
              <w:top w:val="nil"/>
              <w:left w:val="single" w:sz="4" w:space="0" w:color="9FA585"/>
              <w:bottom w:val="nil"/>
              <w:right w:val="nil"/>
            </w:tcBorders>
            <w:vAlign w:val="center"/>
          </w:tcPr>
          <w:p w14:paraId="58049C7E" w14:textId="77777777" w:rsidR="00C54542" w:rsidRDefault="00C54542" w:rsidP="00F504F0">
            <w:pPr>
              <w:pStyle w:val="ListParagraph"/>
              <w:numPr>
                <w:ilvl w:val="1"/>
                <w:numId w:val="16"/>
              </w:numPr>
              <w:jc w:val="left"/>
              <w:rPr>
                <w:sz w:val="18"/>
                <w:lang w:val="en-GB"/>
              </w:rPr>
            </w:pPr>
            <w:r w:rsidRPr="00A04F60">
              <w:rPr>
                <w:sz w:val="18"/>
                <w:lang w:val="en-GB"/>
              </w:rPr>
              <w:t xml:space="preserve">E.2. Coordination costs for local partner institution(s) (5 % lump sum </w:t>
            </w:r>
            <w:r>
              <w:rPr>
                <w:sz w:val="18"/>
                <w:lang w:val="en-GB"/>
              </w:rPr>
              <w:t xml:space="preserve">on total budget </w:t>
            </w:r>
            <w:r w:rsidRPr="00A04F60">
              <w:rPr>
                <w:sz w:val="18"/>
                <w:lang w:val="en-GB"/>
              </w:rPr>
              <w:t>A</w:t>
            </w:r>
            <w:r>
              <w:rPr>
                <w:sz w:val="18"/>
                <w:lang w:val="en-GB"/>
              </w:rPr>
              <w:t>-E</w:t>
            </w:r>
            <w:r w:rsidRPr="00A04F60">
              <w:rPr>
                <w:sz w:val="18"/>
                <w:lang w:val="en-GB"/>
              </w:rPr>
              <w:t>)</w:t>
            </w:r>
          </w:p>
        </w:tc>
        <w:tc>
          <w:tcPr>
            <w:tcW w:w="2297" w:type="dxa"/>
            <w:tcBorders>
              <w:top w:val="nil"/>
              <w:left w:val="nil"/>
              <w:bottom w:val="nil"/>
              <w:right w:val="nil"/>
            </w:tcBorders>
          </w:tcPr>
          <w:p w14:paraId="43F47207" w14:textId="77777777" w:rsidR="00C54542" w:rsidRDefault="00C54542" w:rsidP="00F504F0">
            <w:pPr>
              <w:spacing w:before="120" w:after="0"/>
              <w:jc w:val="center"/>
              <w:rPr>
                <w:sz w:val="18"/>
                <w:lang w:val="en-GB"/>
              </w:rPr>
            </w:pPr>
            <w:r>
              <w:rPr>
                <w:sz w:val="18"/>
                <w:lang w:val="en-GB"/>
              </w:rPr>
              <w:t>2.500</w:t>
            </w:r>
          </w:p>
        </w:tc>
        <w:tc>
          <w:tcPr>
            <w:tcW w:w="2271" w:type="dxa"/>
            <w:tcBorders>
              <w:top w:val="nil"/>
              <w:left w:val="nil"/>
              <w:bottom w:val="nil"/>
              <w:right w:val="single" w:sz="4" w:space="0" w:color="9FA585"/>
            </w:tcBorders>
          </w:tcPr>
          <w:p w14:paraId="13C751BC" w14:textId="77777777" w:rsidR="00C54542" w:rsidRDefault="00C54542" w:rsidP="00F504F0">
            <w:pPr>
              <w:spacing w:before="120" w:after="0"/>
              <w:jc w:val="center"/>
              <w:rPr>
                <w:sz w:val="18"/>
                <w:lang w:val="en-GB"/>
              </w:rPr>
            </w:pPr>
            <w:r>
              <w:rPr>
                <w:sz w:val="18"/>
                <w:lang w:val="en-GB"/>
              </w:rPr>
              <w:t>5.000</w:t>
            </w:r>
          </w:p>
        </w:tc>
      </w:tr>
      <w:tr w:rsidR="00F504F0" w:rsidRPr="00F504F0" w14:paraId="27B60C0D" w14:textId="77777777" w:rsidTr="00F504F0">
        <w:trPr>
          <w:trHeight w:val="100"/>
        </w:trPr>
        <w:tc>
          <w:tcPr>
            <w:tcW w:w="4928" w:type="dxa"/>
            <w:gridSpan w:val="2"/>
            <w:tcBorders>
              <w:top w:val="nil"/>
              <w:left w:val="single" w:sz="4" w:space="0" w:color="9FA585"/>
              <w:bottom w:val="single" w:sz="4" w:space="0" w:color="9FA585"/>
              <w:right w:val="nil"/>
            </w:tcBorders>
          </w:tcPr>
          <w:p w14:paraId="27BC75DA" w14:textId="77777777" w:rsidR="00F504F0" w:rsidRDefault="00C54542" w:rsidP="00C54542">
            <w:pPr>
              <w:pStyle w:val="ListParagraph"/>
              <w:numPr>
                <w:ilvl w:val="0"/>
                <w:numId w:val="0"/>
              </w:numPr>
              <w:ind w:left="1080"/>
              <w:jc w:val="left"/>
              <w:rPr>
                <w:sz w:val="18"/>
                <w:lang w:val="en-GB"/>
              </w:rPr>
            </w:pPr>
            <w:r>
              <w:rPr>
                <w:sz w:val="18"/>
                <w:lang w:val="en-GB"/>
              </w:rPr>
              <w:t>TOTAL</w:t>
            </w:r>
          </w:p>
        </w:tc>
        <w:tc>
          <w:tcPr>
            <w:tcW w:w="2297" w:type="dxa"/>
            <w:tcBorders>
              <w:top w:val="nil"/>
              <w:left w:val="nil"/>
              <w:bottom w:val="single" w:sz="4" w:space="0" w:color="9FA585"/>
              <w:right w:val="nil"/>
            </w:tcBorders>
          </w:tcPr>
          <w:p w14:paraId="0402012B" w14:textId="77777777" w:rsidR="00F504F0" w:rsidRDefault="00F504F0" w:rsidP="00F504F0">
            <w:pPr>
              <w:spacing w:before="120" w:after="0"/>
              <w:jc w:val="center"/>
              <w:rPr>
                <w:sz w:val="18"/>
                <w:lang w:val="en-GB"/>
              </w:rPr>
            </w:pPr>
            <w:r>
              <w:rPr>
                <w:sz w:val="18"/>
                <w:lang w:val="en-GB"/>
              </w:rPr>
              <w:t>50.000</w:t>
            </w:r>
          </w:p>
        </w:tc>
        <w:tc>
          <w:tcPr>
            <w:tcW w:w="2271" w:type="dxa"/>
            <w:tcBorders>
              <w:top w:val="nil"/>
              <w:left w:val="nil"/>
              <w:bottom w:val="single" w:sz="4" w:space="0" w:color="9FA585"/>
              <w:right w:val="single" w:sz="4" w:space="0" w:color="9FA585"/>
            </w:tcBorders>
          </w:tcPr>
          <w:p w14:paraId="5BF38159" w14:textId="77777777" w:rsidR="00F504F0" w:rsidRDefault="00F504F0" w:rsidP="00F504F0">
            <w:pPr>
              <w:spacing w:before="120" w:after="0"/>
              <w:jc w:val="center"/>
              <w:rPr>
                <w:sz w:val="18"/>
                <w:lang w:val="en-GB"/>
              </w:rPr>
            </w:pPr>
            <w:r>
              <w:rPr>
                <w:sz w:val="18"/>
                <w:lang w:val="en-GB"/>
              </w:rPr>
              <w:t>100.000</w:t>
            </w:r>
          </w:p>
        </w:tc>
      </w:tr>
    </w:tbl>
    <w:p w14:paraId="0DF90499" w14:textId="241F96E9" w:rsidR="002D26AA" w:rsidRDefault="002D26AA">
      <w:pPr>
        <w:spacing w:after="200" w:line="276" w:lineRule="auto"/>
        <w:jc w:val="left"/>
        <w:rPr>
          <w:rFonts w:eastAsiaTheme="majorEastAsia"/>
          <w:b/>
          <w:bCs/>
          <w:sz w:val="36"/>
          <w:szCs w:val="36"/>
          <w:lang w:val="en-GB"/>
        </w:rPr>
      </w:pPr>
    </w:p>
    <w:p w14:paraId="25322C10" w14:textId="77777777" w:rsidR="00521765" w:rsidRPr="00B05215" w:rsidRDefault="00313B80" w:rsidP="00AF481E">
      <w:pPr>
        <w:pStyle w:val="Heading1"/>
        <w:spacing w:after="0"/>
        <w:rPr>
          <w:lang w:val="en-GB"/>
        </w:rPr>
      </w:pPr>
      <w:r>
        <w:rPr>
          <w:lang w:val="en-GB"/>
        </w:rPr>
        <w:t>NARRATIVE REPORT (AAR)</w:t>
      </w:r>
    </w:p>
    <w:p w14:paraId="10D12A6C" w14:textId="77777777" w:rsidR="00521765" w:rsidRPr="009F61ED" w:rsidRDefault="00313B80" w:rsidP="00AF481E">
      <w:pPr>
        <w:pStyle w:val="Heading2"/>
        <w:numPr>
          <w:ilvl w:val="0"/>
          <w:numId w:val="17"/>
        </w:numPr>
        <w:spacing w:after="0"/>
        <w:rPr>
          <w:lang w:val="en-GB"/>
        </w:rPr>
      </w:pPr>
      <w:r>
        <w:rPr>
          <w:lang w:val="en-GB"/>
        </w:rPr>
        <w:t>Comments on programme preparation</w:t>
      </w:r>
    </w:p>
    <w:tbl>
      <w:tblPr>
        <w:tblStyle w:val="TableGrid"/>
        <w:tblW w:w="0" w:type="auto"/>
        <w:tblCellMar>
          <w:top w:w="57" w:type="dxa"/>
        </w:tblCellMar>
        <w:tblLook w:val="04A0" w:firstRow="1" w:lastRow="0" w:firstColumn="1" w:lastColumn="0" w:noHBand="0" w:noVBand="1"/>
      </w:tblPr>
      <w:tblGrid>
        <w:gridCol w:w="9062"/>
      </w:tblGrid>
      <w:tr w:rsidR="002E2B2C" w:rsidRPr="00114B17" w14:paraId="70074E1C" w14:textId="77777777" w:rsidTr="0021618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09B496BC" w14:textId="77777777" w:rsidR="002E2B2C" w:rsidRPr="00B05215" w:rsidRDefault="002E2B2C" w:rsidP="00216187">
            <w:pPr>
              <w:spacing w:after="0"/>
              <w:rPr>
                <w:lang w:val="en-GB"/>
              </w:rPr>
            </w:pPr>
            <w:r>
              <w:rPr>
                <w:lang w:val="en-GB"/>
              </w:rPr>
              <w:t xml:space="preserve">Status of the preparation of the IUC </w:t>
            </w:r>
          </w:p>
        </w:tc>
      </w:tr>
      <w:tr w:rsidR="002E2B2C" w:rsidRPr="00114B17" w14:paraId="676EDE10" w14:textId="77777777" w:rsidTr="00216187">
        <w:tc>
          <w:tcPr>
            <w:tcW w:w="9062" w:type="dxa"/>
            <w:tcBorders>
              <w:top w:val="single" w:sz="4" w:space="0" w:color="9FA585"/>
              <w:left w:val="single" w:sz="4" w:space="0" w:color="9FA585"/>
              <w:bottom w:val="single" w:sz="4" w:space="0" w:color="9FA585"/>
              <w:right w:val="single" w:sz="4" w:space="0" w:color="9FA585"/>
            </w:tcBorders>
          </w:tcPr>
          <w:p w14:paraId="784B0FC7" w14:textId="0058104C" w:rsidR="00156E8D" w:rsidRDefault="002E2B2C" w:rsidP="00D168B6">
            <w:pPr>
              <w:spacing w:after="0" w:line="264" w:lineRule="auto"/>
              <w:rPr>
                <w:sz w:val="18"/>
                <w:lang w:val="en-US"/>
              </w:rPr>
            </w:pPr>
            <w:r w:rsidRPr="002E2B2C">
              <w:rPr>
                <w:sz w:val="18"/>
                <w:lang w:val="en-US"/>
              </w:rPr>
              <w:t xml:space="preserve">The IUC </w:t>
            </w:r>
            <w:proofErr w:type="spellStart"/>
            <w:r w:rsidRPr="002E2B2C">
              <w:rPr>
                <w:sz w:val="18"/>
                <w:lang w:val="en-US"/>
              </w:rPr>
              <w:t>programme</w:t>
            </w:r>
            <w:proofErr w:type="spellEnd"/>
            <w:r w:rsidRPr="002E2B2C">
              <w:rPr>
                <w:sz w:val="18"/>
                <w:lang w:val="en-US"/>
              </w:rPr>
              <w:t xml:space="preserve"> has been based on a previous VLIR-UOS Own Initiative (TEAM-project) </w:t>
            </w:r>
            <w:r w:rsidRPr="002E2B2C">
              <w:rPr>
                <w:i/>
                <w:sz w:val="18"/>
                <w:lang w:val="en-US"/>
              </w:rPr>
              <w:t>Strengthening (PhD) training and research in the field of families, children and adolescents at risk in La Paz</w:t>
            </w:r>
            <w:r w:rsidRPr="002E2B2C">
              <w:rPr>
                <w:sz w:val="18"/>
                <w:lang w:val="en-US"/>
              </w:rPr>
              <w:t xml:space="preserve"> (ZEIN2010PR373, 2010-2015) and a VLADOC scholarship (VLADOC2010-01, I. Berckmans, 2010-2014) </w:t>
            </w:r>
            <w:r w:rsidRPr="002E2B2C">
              <w:rPr>
                <w:i/>
                <w:sz w:val="18"/>
                <w:lang w:val="en-US"/>
              </w:rPr>
              <w:t>Leaving the streets: Participatory action research with street children and their families. Improving family reunification programs in poor urban communities in Bolivia</w:t>
            </w:r>
            <w:r w:rsidRPr="002E2B2C">
              <w:rPr>
                <w:sz w:val="18"/>
                <w:lang w:val="en-US"/>
              </w:rPr>
              <w:t xml:space="preserve"> (VUB-UCB joint PhD project). Those projects resulted into two new research centers at the UCB universities (IICC at the UCB La Paz and CEIP at the UCB Santa Cruz) that were expanded into an interdisciplinary research network involving other research groups and departments at the four regional academic units of the UCB, with the aim to develop transdisciplinary community-based research according to a Collaborative Learning Community (CLC) approach. So, the basis for capable project teams drawing on motivated experts to develop the IUC </w:t>
            </w:r>
            <w:proofErr w:type="spellStart"/>
            <w:r w:rsidRPr="002E2B2C">
              <w:rPr>
                <w:sz w:val="18"/>
                <w:lang w:val="en-US"/>
              </w:rPr>
              <w:t>programme</w:t>
            </w:r>
            <w:proofErr w:type="spellEnd"/>
            <w:r w:rsidRPr="002E2B2C">
              <w:rPr>
                <w:sz w:val="18"/>
                <w:lang w:val="en-US"/>
              </w:rPr>
              <w:t xml:space="preserve"> already existed at the start of th</w:t>
            </w:r>
            <w:r w:rsidR="0053096B">
              <w:rPr>
                <w:sz w:val="18"/>
                <w:lang w:val="en-US"/>
              </w:rPr>
              <w:t>e</w:t>
            </w:r>
            <w:r w:rsidRPr="002E2B2C">
              <w:rPr>
                <w:sz w:val="18"/>
                <w:lang w:val="en-US"/>
              </w:rPr>
              <w:t xml:space="preserve"> Pre-Partner </w:t>
            </w:r>
            <w:proofErr w:type="spellStart"/>
            <w:r w:rsidRPr="002E2B2C">
              <w:rPr>
                <w:sz w:val="18"/>
                <w:lang w:val="en-US"/>
              </w:rPr>
              <w:t>Programme</w:t>
            </w:r>
            <w:proofErr w:type="spellEnd"/>
            <w:r w:rsidRPr="002E2B2C">
              <w:rPr>
                <w:sz w:val="18"/>
                <w:lang w:val="en-US"/>
              </w:rPr>
              <w:t xml:space="preserve"> (PPP)</w:t>
            </w:r>
            <w:r w:rsidR="0053096B">
              <w:rPr>
                <w:sz w:val="18"/>
                <w:lang w:val="en-US"/>
              </w:rPr>
              <w:t xml:space="preserve"> in March 2016</w:t>
            </w:r>
            <w:r w:rsidRPr="002E2B2C">
              <w:rPr>
                <w:sz w:val="18"/>
                <w:lang w:val="en-US"/>
              </w:rPr>
              <w:t xml:space="preserve">. To consolidate these teams and to integrate them into </w:t>
            </w:r>
            <w:r w:rsidR="00526A95">
              <w:rPr>
                <w:sz w:val="18"/>
                <w:lang w:val="en-US"/>
              </w:rPr>
              <w:t>tra</w:t>
            </w:r>
            <w:r w:rsidR="0053096B" w:rsidRPr="002E2B2C">
              <w:rPr>
                <w:sz w:val="18"/>
                <w:lang w:val="en-US"/>
              </w:rPr>
              <w:t>n</w:t>
            </w:r>
            <w:r w:rsidR="00526A95">
              <w:rPr>
                <w:sz w:val="18"/>
                <w:lang w:val="en-US"/>
              </w:rPr>
              <w:t>s-</w:t>
            </w:r>
            <w:r w:rsidR="0053096B" w:rsidRPr="002E2B2C">
              <w:rPr>
                <w:sz w:val="18"/>
                <w:lang w:val="en-US"/>
              </w:rPr>
              <w:t xml:space="preserve">disciplinary </w:t>
            </w:r>
            <w:r w:rsidRPr="002E2B2C">
              <w:rPr>
                <w:sz w:val="18"/>
                <w:lang w:val="en-US"/>
              </w:rPr>
              <w:t xml:space="preserve">functioning </w:t>
            </w:r>
            <w:r w:rsidR="009D5ED7">
              <w:rPr>
                <w:sz w:val="18"/>
                <w:lang w:val="en-US"/>
              </w:rPr>
              <w:t xml:space="preserve">TLC </w:t>
            </w:r>
            <w:r w:rsidRPr="002E2B2C">
              <w:rPr>
                <w:sz w:val="18"/>
                <w:lang w:val="en-US"/>
              </w:rPr>
              <w:t>network</w:t>
            </w:r>
            <w:r w:rsidR="00526A95">
              <w:rPr>
                <w:sz w:val="18"/>
                <w:lang w:val="en-US"/>
              </w:rPr>
              <w:t>s</w:t>
            </w:r>
            <w:r w:rsidRPr="002E2B2C">
              <w:rPr>
                <w:sz w:val="18"/>
                <w:lang w:val="en-US"/>
              </w:rPr>
              <w:t xml:space="preserve"> at each </w:t>
            </w:r>
            <w:r w:rsidR="00526A95">
              <w:rPr>
                <w:sz w:val="18"/>
                <w:lang w:val="en-US"/>
              </w:rPr>
              <w:t xml:space="preserve">regional </w:t>
            </w:r>
            <w:r w:rsidRPr="002E2B2C">
              <w:rPr>
                <w:sz w:val="18"/>
                <w:lang w:val="en-US"/>
              </w:rPr>
              <w:t xml:space="preserve">UCB university </w:t>
            </w:r>
            <w:r w:rsidR="0053096B">
              <w:rPr>
                <w:sz w:val="18"/>
                <w:lang w:val="en-US"/>
              </w:rPr>
              <w:t xml:space="preserve">has been </w:t>
            </w:r>
            <w:r w:rsidRPr="002E2B2C">
              <w:rPr>
                <w:sz w:val="18"/>
                <w:lang w:val="en-US"/>
              </w:rPr>
              <w:t xml:space="preserve">an important </w:t>
            </w:r>
            <w:r w:rsidR="00526A95">
              <w:rPr>
                <w:sz w:val="18"/>
                <w:lang w:val="en-US"/>
              </w:rPr>
              <w:t>objective</w:t>
            </w:r>
            <w:r w:rsidRPr="002E2B2C">
              <w:rPr>
                <w:sz w:val="18"/>
                <w:lang w:val="en-US"/>
              </w:rPr>
              <w:t xml:space="preserve"> </w:t>
            </w:r>
            <w:r w:rsidR="00526A95">
              <w:rPr>
                <w:sz w:val="18"/>
                <w:lang w:val="en-US"/>
              </w:rPr>
              <w:t>of</w:t>
            </w:r>
            <w:r w:rsidRPr="002E2B2C">
              <w:rPr>
                <w:sz w:val="18"/>
                <w:lang w:val="en-US"/>
              </w:rPr>
              <w:t xml:space="preserve"> the PPP</w:t>
            </w:r>
            <w:r w:rsidR="00526A95">
              <w:rPr>
                <w:sz w:val="18"/>
                <w:lang w:val="en-US"/>
              </w:rPr>
              <w:t xml:space="preserve"> to be realized</w:t>
            </w:r>
            <w:r w:rsidR="00F806BB">
              <w:rPr>
                <w:sz w:val="18"/>
                <w:lang w:val="en-US"/>
              </w:rPr>
              <w:t xml:space="preserve"> </w:t>
            </w:r>
            <w:r w:rsidR="00F806BB" w:rsidRPr="00F806BB">
              <w:rPr>
                <w:b/>
                <w:sz w:val="18"/>
                <w:lang w:val="en-US"/>
              </w:rPr>
              <w:t>(Objective A</w:t>
            </w:r>
            <w:r w:rsidR="00F806BB">
              <w:rPr>
                <w:sz w:val="18"/>
                <w:lang w:val="en-US"/>
              </w:rPr>
              <w:t xml:space="preserve">). Other main objectives of the PPP were: (1) each thematic project as well as </w:t>
            </w:r>
            <w:r w:rsidR="00F806BB">
              <w:rPr>
                <w:sz w:val="18"/>
                <w:lang w:val="en-US"/>
              </w:rPr>
              <w:lastRenderedPageBreak/>
              <w:t xml:space="preserve">the transversal one and the PSU carried out their PCM workshops and </w:t>
            </w:r>
            <w:r w:rsidR="00862E3E">
              <w:rPr>
                <w:sz w:val="18"/>
                <w:lang w:val="en-US"/>
              </w:rPr>
              <w:t>submitted</w:t>
            </w:r>
            <w:r w:rsidR="00F806BB">
              <w:rPr>
                <w:sz w:val="18"/>
                <w:lang w:val="en-US"/>
              </w:rPr>
              <w:t xml:space="preserve"> their project document</w:t>
            </w:r>
            <w:r w:rsidR="004E6E60">
              <w:rPr>
                <w:sz w:val="18"/>
                <w:lang w:val="en-US"/>
              </w:rPr>
              <w:t>s</w:t>
            </w:r>
            <w:r w:rsidR="00F806BB">
              <w:rPr>
                <w:sz w:val="18"/>
                <w:lang w:val="en-US"/>
              </w:rPr>
              <w:t xml:space="preserve"> for the next five years (</w:t>
            </w:r>
            <w:r w:rsidR="00F806BB" w:rsidRPr="004E6E60">
              <w:rPr>
                <w:b/>
                <w:sz w:val="18"/>
                <w:lang w:val="en-US"/>
              </w:rPr>
              <w:t>Objective B</w:t>
            </w:r>
            <w:r w:rsidR="00F806BB">
              <w:rPr>
                <w:sz w:val="18"/>
                <w:lang w:val="en-US"/>
              </w:rPr>
              <w:t>); (2)</w:t>
            </w:r>
            <w:r w:rsidR="004E6E60">
              <w:rPr>
                <w:sz w:val="18"/>
                <w:lang w:val="en-US"/>
              </w:rPr>
              <w:t xml:space="preserve"> the PSU at a national level has been organized and put into operation to ensure administrative support to the </w:t>
            </w:r>
            <w:proofErr w:type="spellStart"/>
            <w:r w:rsidR="004E6E60">
              <w:rPr>
                <w:sz w:val="18"/>
                <w:lang w:val="en-US"/>
              </w:rPr>
              <w:t>programme</w:t>
            </w:r>
            <w:proofErr w:type="spellEnd"/>
            <w:r w:rsidR="004E6E60">
              <w:rPr>
                <w:sz w:val="18"/>
                <w:lang w:val="en-US"/>
              </w:rPr>
              <w:t xml:space="preserve"> (</w:t>
            </w:r>
            <w:r w:rsidR="004E6E60" w:rsidRPr="004E6E60">
              <w:rPr>
                <w:b/>
                <w:sz w:val="18"/>
                <w:lang w:val="en-US"/>
              </w:rPr>
              <w:t>Objective C</w:t>
            </w:r>
            <w:r w:rsidR="004E6E60">
              <w:rPr>
                <w:sz w:val="18"/>
                <w:lang w:val="en-US"/>
              </w:rPr>
              <w:t>); and (3) inter-regional and inter-university networks have been organized for each project, to build out expertise on topics related to their participation in the regional TLC teams</w:t>
            </w:r>
            <w:r w:rsidR="00156E8D">
              <w:rPr>
                <w:sz w:val="18"/>
                <w:lang w:val="en-US"/>
              </w:rPr>
              <w:t xml:space="preserve"> and networks</w:t>
            </w:r>
            <w:r w:rsidR="004E6E60">
              <w:rPr>
                <w:sz w:val="18"/>
                <w:lang w:val="en-US"/>
              </w:rPr>
              <w:t xml:space="preserve"> (</w:t>
            </w:r>
            <w:r w:rsidR="004E6E60" w:rsidRPr="004E6E60">
              <w:rPr>
                <w:b/>
                <w:sz w:val="18"/>
                <w:lang w:val="en-US"/>
              </w:rPr>
              <w:t>Objective D</w:t>
            </w:r>
            <w:r w:rsidR="004E6E60">
              <w:rPr>
                <w:sz w:val="18"/>
                <w:lang w:val="en-US"/>
              </w:rPr>
              <w:t xml:space="preserve">). </w:t>
            </w:r>
            <w:r w:rsidR="00F806BB">
              <w:rPr>
                <w:sz w:val="18"/>
                <w:lang w:val="en-US"/>
              </w:rPr>
              <w:t xml:space="preserve"> </w:t>
            </w:r>
          </w:p>
          <w:p w14:paraId="3DC91D1E" w14:textId="7675F517" w:rsidR="00842200" w:rsidRPr="002E2B2C" w:rsidRDefault="002E2B2C" w:rsidP="009D5ED7">
            <w:pPr>
              <w:spacing w:after="0" w:line="264" w:lineRule="auto"/>
              <w:rPr>
                <w:sz w:val="18"/>
                <w:lang w:val="en-GB"/>
              </w:rPr>
            </w:pPr>
            <w:r w:rsidRPr="002E2B2C">
              <w:rPr>
                <w:sz w:val="18"/>
                <w:lang w:val="en-US"/>
              </w:rPr>
              <w:t>At the end of AP 201</w:t>
            </w:r>
            <w:r w:rsidR="00A8613A">
              <w:rPr>
                <w:sz w:val="18"/>
                <w:lang w:val="en-US"/>
              </w:rPr>
              <w:t>6</w:t>
            </w:r>
            <w:r w:rsidRPr="002E2B2C">
              <w:rPr>
                <w:sz w:val="18"/>
                <w:lang w:val="en-US"/>
              </w:rPr>
              <w:t xml:space="preserve"> (Ma</w:t>
            </w:r>
            <w:r w:rsidR="00A8613A">
              <w:rPr>
                <w:sz w:val="18"/>
                <w:lang w:val="en-US"/>
              </w:rPr>
              <w:t>y</w:t>
            </w:r>
            <w:r w:rsidRPr="002E2B2C">
              <w:rPr>
                <w:sz w:val="18"/>
                <w:lang w:val="en-US"/>
              </w:rPr>
              <w:t>-</w:t>
            </w:r>
            <w:r w:rsidR="001C4230">
              <w:rPr>
                <w:sz w:val="18"/>
                <w:lang w:val="en-US"/>
              </w:rPr>
              <w:t>D</w:t>
            </w:r>
            <w:r w:rsidR="00A8613A">
              <w:rPr>
                <w:sz w:val="18"/>
                <w:lang w:val="en-US"/>
              </w:rPr>
              <w:t>ecember</w:t>
            </w:r>
            <w:r w:rsidRPr="002E2B2C">
              <w:rPr>
                <w:sz w:val="18"/>
                <w:lang w:val="en-US"/>
              </w:rPr>
              <w:t xml:space="preserve"> 2016)</w:t>
            </w:r>
            <w:r w:rsidR="00AF2B1C">
              <w:rPr>
                <w:sz w:val="18"/>
                <w:lang w:val="en-US"/>
              </w:rPr>
              <w:t xml:space="preserve"> all aforementioned objectives had been realized</w:t>
            </w:r>
            <w:r w:rsidR="002956E8">
              <w:rPr>
                <w:sz w:val="18"/>
                <w:lang w:val="en-US"/>
              </w:rPr>
              <w:t xml:space="preserve"> as planned</w:t>
            </w:r>
            <w:r w:rsidR="00AF2B1C">
              <w:rPr>
                <w:sz w:val="18"/>
                <w:lang w:val="en-US"/>
              </w:rPr>
              <w:t>.</w:t>
            </w:r>
            <w:r w:rsidR="002956E8">
              <w:rPr>
                <w:sz w:val="18"/>
                <w:lang w:val="en-US"/>
              </w:rPr>
              <w:t xml:space="preserve"> At all 4 regional UCB units, </w:t>
            </w:r>
            <w:r w:rsidR="00862E3E" w:rsidRPr="00E74AF9">
              <w:rPr>
                <w:sz w:val="18"/>
                <w:lang w:val="en-US"/>
              </w:rPr>
              <w:t xml:space="preserve">strong and dynamic regional TLC teams </w:t>
            </w:r>
            <w:r w:rsidR="00862E3E">
              <w:rPr>
                <w:sz w:val="18"/>
                <w:lang w:val="en-US"/>
              </w:rPr>
              <w:t xml:space="preserve">have been </w:t>
            </w:r>
            <w:r w:rsidR="00E74AF9" w:rsidRPr="00E74AF9">
              <w:rPr>
                <w:sz w:val="18"/>
                <w:lang w:val="en-US"/>
              </w:rPr>
              <w:t>install</w:t>
            </w:r>
            <w:r w:rsidR="00862E3E">
              <w:rPr>
                <w:sz w:val="18"/>
                <w:lang w:val="en-US"/>
              </w:rPr>
              <w:t xml:space="preserve">ed. </w:t>
            </w:r>
            <w:r w:rsidR="00E74AF9" w:rsidRPr="00E74AF9">
              <w:rPr>
                <w:sz w:val="18"/>
                <w:lang w:val="en-US"/>
              </w:rPr>
              <w:t xml:space="preserve">All </w:t>
            </w:r>
            <w:r w:rsidR="00862E3E">
              <w:rPr>
                <w:sz w:val="18"/>
                <w:lang w:val="en-US"/>
              </w:rPr>
              <w:t xml:space="preserve">4 </w:t>
            </w:r>
            <w:r w:rsidR="00E74AF9" w:rsidRPr="00E74AF9">
              <w:rPr>
                <w:sz w:val="18"/>
                <w:lang w:val="en-US"/>
              </w:rPr>
              <w:t xml:space="preserve">teams include UCB staff members of the different disciplines involved in the 6 projects. Nearly all projects are represented or will be represented in the 4 regional teams. Furthermore, the TLC teams are strongly supported by the regional authorities that are willing to invest at their universities in a successful realization of the </w:t>
            </w:r>
            <w:proofErr w:type="spellStart"/>
            <w:r w:rsidR="00E74AF9" w:rsidRPr="00E74AF9">
              <w:rPr>
                <w:sz w:val="18"/>
                <w:lang w:val="en-US"/>
              </w:rPr>
              <w:t>programme</w:t>
            </w:r>
            <w:proofErr w:type="spellEnd"/>
            <w:r w:rsidR="00862E3E">
              <w:rPr>
                <w:sz w:val="18"/>
                <w:lang w:val="en-US"/>
              </w:rPr>
              <w:t xml:space="preserve">, by ensuring that: </w:t>
            </w:r>
            <w:r w:rsidR="00E74AF9" w:rsidRPr="00E74AF9">
              <w:rPr>
                <w:sz w:val="18"/>
                <w:lang w:val="en-US"/>
              </w:rPr>
              <w:t xml:space="preserve">(1) Academic human resources are available to create a regional TLC team; (2) Research availability of the academic members, who participate in the TLC team as regional IUC project leaders, is guaranteed by a timeframe of 30% to 50% for staff members who will do doctoral research within the </w:t>
            </w:r>
            <w:proofErr w:type="spellStart"/>
            <w:r w:rsidR="00E74AF9" w:rsidRPr="00E74AF9">
              <w:rPr>
                <w:sz w:val="18"/>
                <w:lang w:val="en-US"/>
              </w:rPr>
              <w:t>programme</w:t>
            </w:r>
            <w:proofErr w:type="spellEnd"/>
            <w:r w:rsidR="00E74AF9" w:rsidRPr="00E74AF9">
              <w:rPr>
                <w:sz w:val="18"/>
                <w:lang w:val="en-US"/>
              </w:rPr>
              <w:t xml:space="preserve">; (3) Academic human resources to do doctoral studies during phase I and phase II are </w:t>
            </w:r>
            <w:r w:rsidR="00862E3E">
              <w:rPr>
                <w:sz w:val="18"/>
                <w:lang w:val="en-US"/>
              </w:rPr>
              <w:t>listed</w:t>
            </w:r>
            <w:r w:rsidR="00E74AF9" w:rsidRPr="00E74AF9">
              <w:rPr>
                <w:sz w:val="18"/>
                <w:lang w:val="en-US"/>
              </w:rPr>
              <w:t xml:space="preserve">; (4) Regional accommodation and administrative, logistic and accountancy support is available to ensure a fluent functioning of the TLC team; and (5) Important regional stakeholders in terms of public services, NGOs, local governments and public universities have shown an active interest to be involved in and to contribute to the development of the TLC approach in their region. The fulfilment of these conditions offers the IUC </w:t>
            </w:r>
            <w:proofErr w:type="spellStart"/>
            <w:r w:rsidR="00E74AF9" w:rsidRPr="00E74AF9">
              <w:rPr>
                <w:sz w:val="18"/>
                <w:lang w:val="en-US"/>
              </w:rPr>
              <w:t>programme</w:t>
            </w:r>
            <w:proofErr w:type="spellEnd"/>
            <w:r w:rsidR="00E74AF9" w:rsidRPr="00E74AF9">
              <w:rPr>
                <w:sz w:val="18"/>
                <w:lang w:val="en-US"/>
              </w:rPr>
              <w:t xml:space="preserve"> the opportunity to simultaneously start at the 4 UCB regions by preparing the developmental process of regional Transdisciplinary Learning Communities in which each project can realize at least 4 PhD research studies throughout both phases of the IUC </w:t>
            </w:r>
            <w:proofErr w:type="spellStart"/>
            <w:r w:rsidR="00E74AF9" w:rsidRPr="00E74AF9">
              <w:rPr>
                <w:sz w:val="18"/>
                <w:lang w:val="en-US"/>
              </w:rPr>
              <w:t>programme</w:t>
            </w:r>
            <w:proofErr w:type="spellEnd"/>
            <w:r w:rsidR="00862E3E">
              <w:rPr>
                <w:sz w:val="18"/>
                <w:lang w:val="en-US"/>
              </w:rPr>
              <w:t xml:space="preserve"> (for more details, </w:t>
            </w:r>
            <w:r w:rsidR="00862E3E" w:rsidRPr="000F00C2">
              <w:rPr>
                <w:sz w:val="18"/>
                <w:lang w:val="en-US"/>
              </w:rPr>
              <w:t xml:space="preserve">see annex </w:t>
            </w:r>
            <w:r w:rsidR="009D5ED7" w:rsidRPr="000F00C2">
              <w:rPr>
                <w:sz w:val="18"/>
                <w:lang w:val="en-US"/>
              </w:rPr>
              <w:t>2:</w:t>
            </w:r>
            <w:r w:rsidR="009D5ED7" w:rsidRPr="009D5ED7">
              <w:rPr>
                <w:sz w:val="18"/>
                <w:lang w:val="en-US"/>
              </w:rPr>
              <w:t xml:space="preserve"> </w:t>
            </w:r>
            <w:r w:rsidR="00925A1C" w:rsidRPr="009D5ED7">
              <w:rPr>
                <w:sz w:val="18"/>
                <w:lang w:val="en-US"/>
              </w:rPr>
              <w:t>R</w:t>
            </w:r>
            <w:r w:rsidR="009D5ED7" w:rsidRPr="009D5ED7">
              <w:rPr>
                <w:sz w:val="18"/>
                <w:lang w:val="en-US"/>
              </w:rPr>
              <w:t xml:space="preserve">eport </w:t>
            </w:r>
            <w:r w:rsidR="000F00C2">
              <w:rPr>
                <w:sz w:val="18"/>
                <w:lang w:val="en-US"/>
              </w:rPr>
              <w:t xml:space="preserve">and photos </w:t>
            </w:r>
            <w:r w:rsidR="009D5ED7" w:rsidRPr="009D5ED7">
              <w:rPr>
                <w:sz w:val="18"/>
                <w:lang w:val="en-US"/>
              </w:rPr>
              <w:t>visit 1</w:t>
            </w:r>
            <w:r w:rsidR="00925A1C" w:rsidRPr="009D5ED7">
              <w:rPr>
                <w:sz w:val="18"/>
                <w:lang w:val="en-US"/>
              </w:rPr>
              <w:t>6-25</w:t>
            </w:r>
            <w:r w:rsidR="009D5ED7" w:rsidRPr="009D5ED7">
              <w:rPr>
                <w:sz w:val="18"/>
                <w:lang w:val="en-US"/>
              </w:rPr>
              <w:t xml:space="preserve"> August </w:t>
            </w:r>
            <w:r w:rsidR="00925A1C" w:rsidRPr="009D5ED7">
              <w:rPr>
                <w:sz w:val="18"/>
                <w:lang w:val="en-US"/>
              </w:rPr>
              <w:t>2016)</w:t>
            </w:r>
            <w:r w:rsidR="00E74AF9" w:rsidRPr="009D5ED7">
              <w:rPr>
                <w:sz w:val="18"/>
                <w:lang w:val="en-US"/>
              </w:rPr>
              <w:t>.</w:t>
            </w:r>
            <w:r w:rsidR="00E74AF9" w:rsidRPr="00E74AF9">
              <w:rPr>
                <w:sz w:val="18"/>
                <w:lang w:val="en-US"/>
              </w:rPr>
              <w:t xml:space="preserve"> </w:t>
            </w:r>
          </w:p>
        </w:tc>
      </w:tr>
    </w:tbl>
    <w:p w14:paraId="709DB50C" w14:textId="77777777" w:rsidR="004560CC" w:rsidRPr="004560CC" w:rsidRDefault="004560CC" w:rsidP="00456330">
      <w:pPr>
        <w:pStyle w:val="Heading3"/>
        <w:numPr>
          <w:ilvl w:val="1"/>
          <w:numId w:val="17"/>
        </w:numPr>
        <w:tabs>
          <w:tab w:val="left" w:pos="3330"/>
        </w:tabs>
        <w:rPr>
          <w:lang w:val="en-GB"/>
        </w:rPr>
      </w:pPr>
      <w:r w:rsidRPr="004560CC">
        <w:rPr>
          <w:lang w:val="en-GB"/>
        </w:rPr>
        <w:lastRenderedPageBreak/>
        <w:t>Other relevant developments</w:t>
      </w:r>
      <w:r w:rsidR="00313B80">
        <w:rPr>
          <w:lang w:val="en-GB"/>
        </w:rPr>
        <w:t xml:space="preserve"> (local, national context, Belgian actors)</w:t>
      </w:r>
    </w:p>
    <w:tbl>
      <w:tblPr>
        <w:tblStyle w:val="TableGrid"/>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9212"/>
      </w:tblGrid>
      <w:tr w:rsidR="001E67BA" w:rsidRPr="00114B17" w14:paraId="06476A2F" w14:textId="77777777" w:rsidTr="004F7F9A">
        <w:tc>
          <w:tcPr>
            <w:tcW w:w="9212" w:type="dxa"/>
            <w:shd w:val="clear" w:color="auto" w:fill="9FA585"/>
          </w:tcPr>
          <w:p w14:paraId="6D37871E" w14:textId="77777777" w:rsidR="0005134E" w:rsidRPr="00B05215" w:rsidRDefault="004560CC" w:rsidP="009F61ED">
            <w:pPr>
              <w:spacing w:after="0"/>
              <w:rPr>
                <w:i/>
                <w:sz w:val="18"/>
                <w:lang w:val="en-GB"/>
              </w:rPr>
            </w:pPr>
            <w:r>
              <w:rPr>
                <w:lang w:val="en-GB"/>
              </w:rPr>
              <w:t>Links with strategic planning, possible synergies identified with other actors, linked donor initiatives</w:t>
            </w:r>
            <w:r w:rsidR="00B05215">
              <w:rPr>
                <w:i/>
                <w:sz w:val="18"/>
                <w:lang w:val="en-GB"/>
              </w:rPr>
              <w:t xml:space="preserve"> </w:t>
            </w:r>
          </w:p>
        </w:tc>
      </w:tr>
      <w:tr w:rsidR="001E67BA" w:rsidRPr="00114B17" w14:paraId="60EB988B" w14:textId="77777777" w:rsidTr="004F7F9A">
        <w:tc>
          <w:tcPr>
            <w:tcW w:w="9212" w:type="dxa"/>
          </w:tcPr>
          <w:p w14:paraId="7CC15048" w14:textId="31D9E040" w:rsidR="00B94190" w:rsidRPr="006B1DFF" w:rsidRDefault="00056FCD" w:rsidP="00D168B6">
            <w:pPr>
              <w:keepNext/>
              <w:keepLines/>
              <w:tabs>
                <w:tab w:val="left" w:pos="0"/>
              </w:tabs>
              <w:spacing w:after="0" w:line="264" w:lineRule="auto"/>
              <w:outlineLvl w:val="7"/>
              <w:rPr>
                <w:rFonts w:asciiTheme="minorHAnsi" w:hAnsiTheme="minorHAnsi"/>
                <w:sz w:val="18"/>
                <w:szCs w:val="18"/>
                <w:lang w:val="en-GB"/>
              </w:rPr>
            </w:pPr>
            <w:r>
              <w:rPr>
                <w:rFonts w:asciiTheme="minorHAnsi" w:hAnsiTheme="minorHAnsi"/>
                <w:sz w:val="18"/>
                <w:szCs w:val="18"/>
                <w:lang w:val="en-GB"/>
              </w:rPr>
              <w:lastRenderedPageBreak/>
              <w:t>T</w:t>
            </w:r>
            <w:r w:rsidR="00E32798">
              <w:rPr>
                <w:rFonts w:asciiTheme="minorHAnsi" w:hAnsiTheme="minorHAnsi"/>
                <w:sz w:val="18"/>
                <w:szCs w:val="18"/>
                <w:lang w:val="en-GB"/>
              </w:rPr>
              <w:t xml:space="preserve">hroughout May–December </w:t>
            </w:r>
            <w:r w:rsidR="006B1DFF">
              <w:rPr>
                <w:rFonts w:asciiTheme="minorHAnsi" w:hAnsiTheme="minorHAnsi"/>
                <w:sz w:val="18"/>
                <w:szCs w:val="18"/>
                <w:lang w:val="en-GB"/>
              </w:rPr>
              <w:t xml:space="preserve">2016, </w:t>
            </w:r>
            <w:r w:rsidR="00E32798">
              <w:rPr>
                <w:rFonts w:asciiTheme="minorHAnsi" w:hAnsiTheme="minorHAnsi"/>
                <w:sz w:val="18"/>
                <w:szCs w:val="18"/>
                <w:lang w:val="en-GB"/>
              </w:rPr>
              <w:t xml:space="preserve">the </w:t>
            </w:r>
            <w:r w:rsidR="006B1DFF">
              <w:rPr>
                <w:rFonts w:asciiTheme="minorHAnsi" w:hAnsiTheme="minorHAnsi"/>
                <w:sz w:val="18"/>
                <w:szCs w:val="18"/>
                <w:lang w:val="en-GB"/>
              </w:rPr>
              <w:t>activities realized</w:t>
            </w:r>
            <w:r w:rsidR="00F724BD">
              <w:rPr>
                <w:rFonts w:asciiTheme="minorHAnsi" w:hAnsiTheme="minorHAnsi"/>
                <w:sz w:val="18"/>
                <w:szCs w:val="18"/>
                <w:lang w:val="en-GB"/>
              </w:rPr>
              <w:t xml:space="preserve"> in the first period of March–April 2016 have been extended</w:t>
            </w:r>
            <w:r w:rsidR="006B1DFF">
              <w:rPr>
                <w:rFonts w:asciiTheme="minorHAnsi" w:hAnsiTheme="minorHAnsi"/>
                <w:sz w:val="18"/>
                <w:szCs w:val="18"/>
                <w:lang w:val="en-GB"/>
              </w:rPr>
              <w:t>:</w:t>
            </w:r>
          </w:p>
          <w:p w14:paraId="25C6073C" w14:textId="7375BA05" w:rsidR="000F00C2" w:rsidRPr="000F00C2" w:rsidRDefault="00A80DD2" w:rsidP="000F00C2">
            <w:pPr>
              <w:spacing w:after="0" w:line="264" w:lineRule="auto"/>
              <w:rPr>
                <w:rFonts w:asciiTheme="minorHAnsi" w:hAnsiTheme="minorHAnsi"/>
                <w:sz w:val="18"/>
                <w:szCs w:val="18"/>
                <w:lang w:val="en-GB"/>
              </w:rPr>
            </w:pPr>
            <w:r w:rsidRPr="00D168B6">
              <w:rPr>
                <w:rFonts w:asciiTheme="minorHAnsi" w:hAnsiTheme="minorHAnsi"/>
                <w:b/>
                <w:sz w:val="18"/>
                <w:szCs w:val="18"/>
                <w:lang w:val="en-GB"/>
              </w:rPr>
              <w:t>Links with strategic planning</w:t>
            </w:r>
            <w:r w:rsidR="00D168B6">
              <w:rPr>
                <w:rFonts w:asciiTheme="minorHAnsi" w:hAnsiTheme="minorHAnsi"/>
                <w:b/>
                <w:sz w:val="18"/>
                <w:szCs w:val="18"/>
                <w:lang w:val="en-GB"/>
              </w:rPr>
              <w:t xml:space="preserve">: </w:t>
            </w:r>
            <w:r w:rsidR="00D168B6" w:rsidRPr="00D168B6">
              <w:rPr>
                <w:rFonts w:asciiTheme="minorHAnsi" w:hAnsiTheme="minorHAnsi"/>
                <w:sz w:val="18"/>
                <w:szCs w:val="18"/>
                <w:lang w:val="en-GB"/>
              </w:rPr>
              <w:t xml:space="preserve">As </w:t>
            </w:r>
            <w:r w:rsidR="00D168B6">
              <w:rPr>
                <w:rFonts w:asciiTheme="minorHAnsi" w:hAnsiTheme="minorHAnsi"/>
                <w:sz w:val="18"/>
                <w:szCs w:val="18"/>
                <w:lang w:val="en-GB"/>
              </w:rPr>
              <w:t xml:space="preserve">mentioned </w:t>
            </w:r>
            <w:r w:rsidR="00F724BD">
              <w:rPr>
                <w:rFonts w:asciiTheme="minorHAnsi" w:hAnsiTheme="minorHAnsi"/>
                <w:sz w:val="18"/>
                <w:szCs w:val="18"/>
                <w:lang w:val="en-GB"/>
              </w:rPr>
              <w:t xml:space="preserve">in the previous report AP2015, </w:t>
            </w:r>
            <w:r w:rsidR="00D168B6">
              <w:rPr>
                <w:rFonts w:asciiTheme="minorHAnsi" w:hAnsiTheme="minorHAnsi"/>
                <w:sz w:val="18"/>
                <w:szCs w:val="18"/>
                <w:lang w:val="en-GB"/>
              </w:rPr>
              <w:t>the process of defining the thematic projects ha</w:t>
            </w:r>
            <w:r w:rsidR="00F724BD">
              <w:rPr>
                <w:rFonts w:asciiTheme="minorHAnsi" w:hAnsiTheme="minorHAnsi"/>
                <w:sz w:val="18"/>
                <w:szCs w:val="18"/>
                <w:lang w:val="en-GB"/>
              </w:rPr>
              <w:t>d</w:t>
            </w:r>
            <w:r w:rsidR="00D168B6">
              <w:rPr>
                <w:rFonts w:asciiTheme="minorHAnsi" w:hAnsiTheme="minorHAnsi"/>
                <w:sz w:val="18"/>
                <w:szCs w:val="18"/>
                <w:lang w:val="en-GB"/>
              </w:rPr>
              <w:t xml:space="preserve"> been based on the strategic developmental plans of the Bolivian government, the national </w:t>
            </w:r>
            <w:r w:rsidR="0059794F">
              <w:rPr>
                <w:rFonts w:asciiTheme="minorHAnsi" w:hAnsiTheme="minorHAnsi"/>
                <w:sz w:val="18"/>
                <w:szCs w:val="18"/>
                <w:lang w:val="en-GB"/>
              </w:rPr>
              <w:t xml:space="preserve">UCB </w:t>
            </w:r>
            <w:r w:rsidR="00D168B6">
              <w:rPr>
                <w:rFonts w:asciiTheme="minorHAnsi" w:hAnsiTheme="minorHAnsi"/>
                <w:sz w:val="18"/>
                <w:szCs w:val="18"/>
                <w:lang w:val="en-GB"/>
              </w:rPr>
              <w:t xml:space="preserve">and </w:t>
            </w:r>
            <w:r w:rsidR="0059794F">
              <w:rPr>
                <w:rFonts w:asciiTheme="minorHAnsi" w:hAnsiTheme="minorHAnsi"/>
                <w:sz w:val="18"/>
                <w:szCs w:val="18"/>
                <w:lang w:val="en-GB"/>
              </w:rPr>
              <w:t xml:space="preserve">its </w:t>
            </w:r>
            <w:r w:rsidR="00D168B6">
              <w:rPr>
                <w:rFonts w:asciiTheme="minorHAnsi" w:hAnsiTheme="minorHAnsi"/>
                <w:sz w:val="18"/>
                <w:szCs w:val="18"/>
                <w:lang w:val="en-GB"/>
              </w:rPr>
              <w:t xml:space="preserve">regional </w:t>
            </w:r>
            <w:r w:rsidR="0059794F">
              <w:rPr>
                <w:rFonts w:asciiTheme="minorHAnsi" w:hAnsiTheme="minorHAnsi"/>
                <w:sz w:val="18"/>
                <w:szCs w:val="18"/>
                <w:lang w:val="en-GB"/>
              </w:rPr>
              <w:t xml:space="preserve">academic units, the VLIR-UOS country strategy and the </w:t>
            </w:r>
            <w:r w:rsidR="0059794F" w:rsidRPr="0059794F">
              <w:rPr>
                <w:rFonts w:asciiTheme="minorHAnsi" w:hAnsiTheme="minorHAnsi"/>
                <w:sz w:val="18"/>
                <w:szCs w:val="18"/>
                <w:lang w:val="en"/>
              </w:rPr>
              <w:t>Sustainable Development Goals proposed by the UN</w:t>
            </w:r>
            <w:r w:rsidR="0059794F">
              <w:rPr>
                <w:rFonts w:asciiTheme="minorHAnsi" w:hAnsiTheme="minorHAnsi"/>
                <w:sz w:val="18"/>
                <w:szCs w:val="18"/>
                <w:lang w:val="en"/>
              </w:rPr>
              <w:t>.</w:t>
            </w:r>
            <w:r w:rsidR="0059794F">
              <w:rPr>
                <w:rFonts w:asciiTheme="minorHAnsi" w:hAnsiTheme="minorHAnsi"/>
                <w:sz w:val="18"/>
                <w:szCs w:val="18"/>
                <w:lang w:val="en-GB"/>
              </w:rPr>
              <w:t xml:space="preserve"> </w:t>
            </w:r>
            <w:r w:rsidR="00F724BD">
              <w:rPr>
                <w:rFonts w:asciiTheme="minorHAnsi" w:hAnsiTheme="minorHAnsi"/>
                <w:sz w:val="18"/>
                <w:szCs w:val="18"/>
                <w:lang w:val="en-GB"/>
              </w:rPr>
              <w:t xml:space="preserve">Based on this earlier realization the links with strategic planning were intensified and expanded by </w:t>
            </w:r>
            <w:r w:rsidR="000F00C2" w:rsidRPr="000F00C2">
              <w:rPr>
                <w:rFonts w:asciiTheme="minorHAnsi" w:hAnsiTheme="minorHAnsi"/>
                <w:sz w:val="18"/>
                <w:szCs w:val="18"/>
                <w:lang w:val="en-GB"/>
              </w:rPr>
              <w:t xml:space="preserve">the deep analysis of the relationship between each project with their specific national strategic plan: </w:t>
            </w:r>
          </w:p>
          <w:p w14:paraId="391041E5" w14:textId="77777777" w:rsidR="000F00C2" w:rsidRPr="000F00C2" w:rsidRDefault="000F00C2" w:rsidP="000F00C2">
            <w:pPr>
              <w:spacing w:after="0" w:line="264" w:lineRule="auto"/>
              <w:rPr>
                <w:rFonts w:asciiTheme="minorHAnsi" w:hAnsiTheme="minorHAnsi"/>
                <w:sz w:val="18"/>
                <w:szCs w:val="18"/>
                <w:lang w:val="en-GB"/>
              </w:rPr>
            </w:pPr>
          </w:p>
          <w:tbl>
            <w:tblPr>
              <w:tblStyle w:val="TableGrid"/>
              <w:tblW w:w="8843" w:type="dxa"/>
              <w:tblLook w:val="04A0" w:firstRow="1" w:lastRow="0" w:firstColumn="1" w:lastColumn="0" w:noHBand="0" w:noVBand="1"/>
            </w:tblPr>
            <w:tblGrid>
              <w:gridCol w:w="1300"/>
              <w:gridCol w:w="4961"/>
              <w:gridCol w:w="2552"/>
              <w:gridCol w:w="30"/>
            </w:tblGrid>
            <w:tr w:rsidR="000F00C2" w:rsidRPr="000F00C2" w14:paraId="6BB4C685" w14:textId="77777777" w:rsidTr="000F00C2">
              <w:trPr>
                <w:trHeight w:val="350"/>
              </w:trPr>
              <w:tc>
                <w:tcPr>
                  <w:tcW w:w="1300" w:type="dxa"/>
                </w:tcPr>
                <w:p w14:paraId="3FBCB167"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Project (short name)</w:t>
                  </w:r>
                </w:p>
              </w:tc>
              <w:tc>
                <w:tcPr>
                  <w:tcW w:w="4961" w:type="dxa"/>
                </w:tcPr>
                <w:p w14:paraId="44EE93A2"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National Strategic Plan links (strong relationship)</w:t>
                  </w:r>
                </w:p>
              </w:tc>
              <w:tc>
                <w:tcPr>
                  <w:tcW w:w="2582" w:type="dxa"/>
                  <w:gridSpan w:val="2"/>
                </w:tcPr>
                <w:p w14:paraId="0FA2982E"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Key stakeholders work</w:t>
                  </w:r>
                </w:p>
              </w:tc>
            </w:tr>
            <w:tr w:rsidR="000F00C2" w:rsidRPr="00114B17" w14:paraId="03EF792E" w14:textId="77777777" w:rsidTr="000F00C2">
              <w:trPr>
                <w:gridAfter w:val="1"/>
                <w:wAfter w:w="30" w:type="dxa"/>
                <w:trHeight w:val="529"/>
              </w:trPr>
              <w:tc>
                <w:tcPr>
                  <w:tcW w:w="1300" w:type="dxa"/>
                </w:tcPr>
                <w:p w14:paraId="1130C3CC"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P1-Social Vulnerability</w:t>
                  </w:r>
                </w:p>
              </w:tc>
              <w:tc>
                <w:tcPr>
                  <w:tcW w:w="4961" w:type="dxa"/>
                </w:tcPr>
                <w:p w14:paraId="16D416BE"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i/>
                      <w:sz w:val="18"/>
                      <w:szCs w:val="18"/>
                      <w:lang w:val="en-GB"/>
                    </w:rPr>
                    <w:t>Code of Family, Code of Child and Adolescent</w:t>
                  </w:r>
                  <w:r w:rsidRPr="000F00C2">
                    <w:rPr>
                      <w:rFonts w:asciiTheme="minorHAnsi" w:hAnsiTheme="minorHAnsi"/>
                      <w:sz w:val="18"/>
                      <w:szCs w:val="18"/>
                      <w:lang w:val="en-GB"/>
                    </w:rPr>
                    <w:t xml:space="preserve"> (in developing by the Political Constitution of the </w:t>
                  </w:r>
                  <w:proofErr w:type="spellStart"/>
                  <w:r w:rsidRPr="000F00C2">
                    <w:rPr>
                      <w:rFonts w:asciiTheme="minorHAnsi" w:hAnsiTheme="minorHAnsi"/>
                      <w:sz w:val="18"/>
                      <w:szCs w:val="18"/>
                      <w:lang w:val="en-GB"/>
                    </w:rPr>
                    <w:t>Plurinational</w:t>
                  </w:r>
                  <w:proofErr w:type="spellEnd"/>
                  <w:r w:rsidRPr="000F00C2">
                    <w:rPr>
                      <w:rFonts w:asciiTheme="minorHAnsi" w:hAnsiTheme="minorHAnsi"/>
                      <w:sz w:val="18"/>
                      <w:szCs w:val="18"/>
                      <w:lang w:val="en-GB"/>
                    </w:rPr>
                    <w:t xml:space="preserve"> State of Bolivia)</w:t>
                  </w:r>
                </w:p>
              </w:tc>
              <w:tc>
                <w:tcPr>
                  <w:tcW w:w="2552" w:type="dxa"/>
                </w:tcPr>
                <w:p w14:paraId="61794240" w14:textId="77777777" w:rsidR="000F00C2" w:rsidRPr="000F00C2" w:rsidRDefault="000F00C2" w:rsidP="000F00C2">
                  <w:pPr>
                    <w:spacing w:after="0" w:line="264" w:lineRule="auto"/>
                    <w:rPr>
                      <w:rFonts w:asciiTheme="minorHAnsi" w:hAnsiTheme="minorHAnsi"/>
                      <w:i/>
                      <w:sz w:val="18"/>
                      <w:szCs w:val="18"/>
                      <w:lang w:val="en-GB"/>
                    </w:rPr>
                  </w:pPr>
                  <w:r w:rsidRPr="000F00C2">
                    <w:rPr>
                      <w:rFonts w:asciiTheme="minorHAnsi" w:hAnsiTheme="minorHAnsi"/>
                      <w:sz w:val="18"/>
                      <w:szCs w:val="18"/>
                      <w:lang w:val="en-GB"/>
                    </w:rPr>
                    <w:t>UNICEF, WORLD VISION, SOS, Children’s advocacy office</w:t>
                  </w:r>
                </w:p>
              </w:tc>
            </w:tr>
            <w:tr w:rsidR="000F00C2" w:rsidRPr="00114B17" w14:paraId="1F5F26D9" w14:textId="77777777" w:rsidTr="000F00C2">
              <w:trPr>
                <w:gridAfter w:val="1"/>
                <w:wAfter w:w="30" w:type="dxa"/>
                <w:trHeight w:val="214"/>
              </w:trPr>
              <w:tc>
                <w:tcPr>
                  <w:tcW w:w="1300" w:type="dxa"/>
                </w:tcPr>
                <w:p w14:paraId="15088AB8"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P2 – Integrated Water Management</w:t>
                  </w:r>
                </w:p>
              </w:tc>
              <w:tc>
                <w:tcPr>
                  <w:tcW w:w="4961" w:type="dxa"/>
                </w:tcPr>
                <w:p w14:paraId="03BE6062"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National Watershed Plan, the National Water Treatment Strategy, the Water and Sanitation Sector Strategic Plan, the Basic Services Sector Plan and the relationship consolidation with.</w:t>
                  </w:r>
                </w:p>
              </w:tc>
              <w:tc>
                <w:tcPr>
                  <w:tcW w:w="2552" w:type="dxa"/>
                </w:tcPr>
                <w:p w14:paraId="3984312C"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Ministry of Environment and Water, local government, international cooperation agencies</w:t>
                  </w:r>
                </w:p>
              </w:tc>
            </w:tr>
            <w:tr w:rsidR="000F00C2" w:rsidRPr="000F00C2" w14:paraId="523047E1" w14:textId="77777777" w:rsidTr="000F00C2">
              <w:trPr>
                <w:gridAfter w:val="1"/>
                <w:wAfter w:w="30" w:type="dxa"/>
                <w:trHeight w:val="214"/>
              </w:trPr>
              <w:tc>
                <w:tcPr>
                  <w:tcW w:w="1300" w:type="dxa"/>
                </w:tcPr>
                <w:p w14:paraId="20621FB6"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P3 – Food Security</w:t>
                  </w:r>
                </w:p>
              </w:tc>
              <w:tc>
                <w:tcPr>
                  <w:tcW w:w="4961" w:type="dxa"/>
                </w:tcPr>
                <w:p w14:paraId="6F674A87"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National Food And Nutrition Program, Zero Undernutrition Multisectorial Program promoted by Ministry of Health and Sports of Bolivia, Observatory On Public Policies In Program For Improvement Of Nutritional Status – PROMENU</w:t>
                  </w:r>
                </w:p>
              </w:tc>
              <w:tc>
                <w:tcPr>
                  <w:tcW w:w="2552" w:type="dxa"/>
                </w:tcPr>
                <w:p w14:paraId="68A30CD5"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FAO-UN, IICA, UMSS</w:t>
                  </w:r>
                </w:p>
              </w:tc>
            </w:tr>
            <w:tr w:rsidR="000F00C2" w:rsidRPr="00114B17" w14:paraId="762F0FD1" w14:textId="77777777" w:rsidTr="000F00C2">
              <w:trPr>
                <w:gridAfter w:val="1"/>
                <w:wAfter w:w="30" w:type="dxa"/>
                <w:trHeight w:val="214"/>
              </w:trPr>
              <w:tc>
                <w:tcPr>
                  <w:tcW w:w="1300" w:type="dxa"/>
                </w:tcPr>
                <w:p w14:paraId="21427049"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P4 – Indigenous rights</w:t>
                  </w:r>
                </w:p>
              </w:tc>
              <w:tc>
                <w:tcPr>
                  <w:tcW w:w="4961" w:type="dxa"/>
                </w:tcPr>
                <w:p w14:paraId="0CDA696E"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Political Constitution of the State Concerning the Rights of Nations and Indigenous Peoples Originally Campesinos, the Project: "Strengthening Indigenous and Original Peoples of Bolivia in the Administration of Plural Justice and Mechanisms for Conflict Resolution</w:t>
                  </w:r>
                </w:p>
              </w:tc>
              <w:tc>
                <w:tcPr>
                  <w:tcW w:w="2552" w:type="dxa"/>
                </w:tcPr>
                <w:p w14:paraId="320B4A53"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
                    </w:rPr>
                    <w:t>European Union, Construir Foundation, UNDP</w:t>
                  </w:r>
                </w:p>
              </w:tc>
            </w:tr>
            <w:tr w:rsidR="000F00C2" w:rsidRPr="00114B17" w14:paraId="069AEC1C" w14:textId="77777777" w:rsidTr="000F00C2">
              <w:trPr>
                <w:gridAfter w:val="1"/>
                <w:wAfter w:w="30" w:type="dxa"/>
                <w:trHeight w:val="214"/>
              </w:trPr>
              <w:tc>
                <w:tcPr>
                  <w:tcW w:w="1300" w:type="dxa"/>
                </w:tcPr>
                <w:p w14:paraId="067EB193"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GB"/>
                    </w:rPr>
                    <w:t>P5 - Productive Development</w:t>
                  </w:r>
                </w:p>
              </w:tc>
              <w:tc>
                <w:tcPr>
                  <w:tcW w:w="4961" w:type="dxa"/>
                </w:tcPr>
                <w:p w14:paraId="456F1690" w14:textId="77777777" w:rsidR="000F00C2" w:rsidRPr="000F00C2" w:rsidRDefault="000F00C2" w:rsidP="000F00C2">
                  <w:pPr>
                    <w:spacing w:after="0" w:line="264" w:lineRule="auto"/>
                    <w:rPr>
                      <w:rFonts w:asciiTheme="minorHAnsi" w:hAnsiTheme="minorHAnsi"/>
                      <w:sz w:val="18"/>
                      <w:szCs w:val="18"/>
                      <w:lang w:val="en-GB"/>
                    </w:rPr>
                  </w:pPr>
                  <w:r w:rsidRPr="000F00C2">
                    <w:rPr>
                      <w:rFonts w:asciiTheme="minorHAnsi" w:hAnsiTheme="minorHAnsi"/>
                      <w:sz w:val="18"/>
                      <w:szCs w:val="18"/>
                      <w:lang w:val="en-US"/>
                    </w:rPr>
                    <w:t xml:space="preserve">National Plan of Development "Bolivia Digna, </w:t>
                  </w:r>
                  <w:proofErr w:type="spellStart"/>
                  <w:r w:rsidRPr="000F00C2">
                    <w:rPr>
                      <w:rFonts w:asciiTheme="minorHAnsi" w:hAnsiTheme="minorHAnsi"/>
                      <w:sz w:val="18"/>
                      <w:szCs w:val="18"/>
                      <w:lang w:val="en-US"/>
                    </w:rPr>
                    <w:t>Soberana</w:t>
                  </w:r>
                  <w:proofErr w:type="spellEnd"/>
                  <w:r w:rsidRPr="000F00C2">
                    <w:rPr>
                      <w:rFonts w:asciiTheme="minorHAnsi" w:hAnsiTheme="minorHAnsi"/>
                      <w:sz w:val="18"/>
                      <w:szCs w:val="18"/>
                      <w:lang w:val="en-US"/>
                    </w:rPr>
                    <w:t xml:space="preserve">, </w:t>
                  </w:r>
                  <w:proofErr w:type="spellStart"/>
                  <w:r w:rsidRPr="000F00C2">
                    <w:rPr>
                      <w:rFonts w:asciiTheme="minorHAnsi" w:hAnsiTheme="minorHAnsi"/>
                      <w:sz w:val="18"/>
                      <w:szCs w:val="18"/>
                      <w:lang w:val="en-US"/>
                    </w:rPr>
                    <w:t>Productiva</w:t>
                  </w:r>
                  <w:proofErr w:type="spellEnd"/>
                  <w:r w:rsidRPr="000F00C2">
                    <w:rPr>
                      <w:rFonts w:asciiTheme="minorHAnsi" w:hAnsiTheme="minorHAnsi"/>
                      <w:sz w:val="18"/>
                      <w:szCs w:val="18"/>
                      <w:lang w:val="en-US"/>
                    </w:rPr>
                    <w:t xml:space="preserve"> y </w:t>
                  </w:r>
                  <w:proofErr w:type="spellStart"/>
                  <w:r w:rsidRPr="000F00C2">
                    <w:rPr>
                      <w:rFonts w:asciiTheme="minorHAnsi" w:hAnsiTheme="minorHAnsi"/>
                      <w:sz w:val="18"/>
                      <w:szCs w:val="18"/>
                      <w:lang w:val="en-US"/>
                    </w:rPr>
                    <w:t>Democrática</w:t>
                  </w:r>
                  <w:proofErr w:type="spellEnd"/>
                  <w:r w:rsidRPr="000F00C2">
                    <w:rPr>
                      <w:rFonts w:asciiTheme="minorHAnsi" w:hAnsiTheme="minorHAnsi"/>
                      <w:sz w:val="18"/>
                      <w:szCs w:val="18"/>
                      <w:lang w:val="en-US"/>
                    </w:rPr>
                    <w:t xml:space="preserve"> para </w:t>
                  </w:r>
                  <w:proofErr w:type="spellStart"/>
                  <w:r w:rsidRPr="000F00C2">
                    <w:rPr>
                      <w:rFonts w:asciiTheme="minorHAnsi" w:hAnsiTheme="minorHAnsi"/>
                      <w:sz w:val="18"/>
                      <w:szCs w:val="18"/>
                      <w:lang w:val="en-US"/>
                    </w:rPr>
                    <w:t>Vivir</w:t>
                  </w:r>
                  <w:proofErr w:type="spellEnd"/>
                  <w:r w:rsidRPr="000F00C2">
                    <w:rPr>
                      <w:rFonts w:asciiTheme="minorHAnsi" w:hAnsiTheme="minorHAnsi"/>
                      <w:sz w:val="18"/>
                      <w:szCs w:val="18"/>
                      <w:lang w:val="en-US"/>
                    </w:rPr>
                    <w:t xml:space="preserve"> Bien", Economic and Social Development Plan 2016-2020</w:t>
                  </w:r>
                </w:p>
              </w:tc>
              <w:tc>
                <w:tcPr>
                  <w:tcW w:w="2552" w:type="dxa"/>
                </w:tcPr>
                <w:p w14:paraId="51C17B10" w14:textId="77777777" w:rsidR="000F00C2" w:rsidRPr="000F00C2" w:rsidRDefault="000F00C2" w:rsidP="000F00C2">
                  <w:pPr>
                    <w:spacing w:after="0" w:line="264" w:lineRule="auto"/>
                    <w:rPr>
                      <w:rFonts w:asciiTheme="minorHAnsi" w:hAnsiTheme="minorHAnsi"/>
                      <w:sz w:val="18"/>
                      <w:szCs w:val="18"/>
                      <w:lang w:val="en-US"/>
                    </w:rPr>
                  </w:pPr>
                  <w:r w:rsidRPr="000F00C2">
                    <w:rPr>
                      <w:rFonts w:asciiTheme="minorHAnsi" w:hAnsiTheme="minorHAnsi"/>
                      <w:sz w:val="18"/>
                      <w:szCs w:val="18"/>
                      <w:lang w:val="en-US"/>
                    </w:rPr>
                    <w:t>Ministry of Development Planning, Ministry of Productive Development and Plural Economy</w:t>
                  </w:r>
                </w:p>
              </w:tc>
            </w:tr>
          </w:tbl>
          <w:p w14:paraId="006092BE" w14:textId="77777777" w:rsidR="000F00C2" w:rsidRPr="000F00C2" w:rsidRDefault="000F00C2" w:rsidP="000F00C2">
            <w:pPr>
              <w:spacing w:after="0" w:line="264" w:lineRule="auto"/>
              <w:rPr>
                <w:rFonts w:asciiTheme="minorHAnsi" w:hAnsiTheme="minorHAnsi"/>
                <w:sz w:val="18"/>
                <w:szCs w:val="18"/>
                <w:lang w:val="en-GB"/>
              </w:rPr>
            </w:pPr>
          </w:p>
          <w:p w14:paraId="13EA28B7" w14:textId="77777777" w:rsidR="000F00C2" w:rsidRPr="000F00C2" w:rsidRDefault="000F00C2" w:rsidP="000F00C2">
            <w:pPr>
              <w:spacing w:after="0" w:line="264" w:lineRule="auto"/>
              <w:rPr>
                <w:rFonts w:asciiTheme="minorHAnsi" w:hAnsiTheme="minorHAnsi"/>
                <w:sz w:val="18"/>
                <w:szCs w:val="18"/>
                <w:lang w:val="en"/>
              </w:rPr>
            </w:pPr>
            <w:r w:rsidRPr="000F00C2">
              <w:rPr>
                <w:rFonts w:asciiTheme="minorHAnsi" w:hAnsiTheme="minorHAnsi"/>
                <w:sz w:val="18"/>
                <w:szCs w:val="18"/>
                <w:lang w:val="en-GB"/>
              </w:rPr>
              <w:t xml:space="preserve">Also, </w:t>
            </w:r>
            <w:r w:rsidRPr="000F00C2">
              <w:rPr>
                <w:rFonts w:asciiTheme="minorHAnsi" w:hAnsiTheme="minorHAnsi"/>
                <w:sz w:val="18"/>
                <w:szCs w:val="18"/>
                <w:lang w:val="en"/>
              </w:rPr>
              <w:t xml:space="preserve">the UCB included in its national strategic plan the objectives, results and activities of the IUC Programme. </w:t>
            </w:r>
          </w:p>
          <w:p w14:paraId="1928B5F9" w14:textId="77777777" w:rsidR="000F00C2" w:rsidRPr="000F00C2" w:rsidRDefault="000F00C2" w:rsidP="000F00C2">
            <w:pPr>
              <w:spacing w:after="0" w:line="264" w:lineRule="auto"/>
              <w:rPr>
                <w:rFonts w:asciiTheme="minorHAnsi" w:hAnsiTheme="minorHAnsi"/>
                <w:sz w:val="18"/>
                <w:szCs w:val="18"/>
                <w:lang w:val="en"/>
              </w:rPr>
            </w:pPr>
            <w:r w:rsidRPr="000F00C2">
              <w:rPr>
                <w:rFonts w:asciiTheme="minorHAnsi" w:hAnsiTheme="minorHAnsi"/>
                <w:b/>
                <w:sz w:val="18"/>
                <w:szCs w:val="18"/>
                <w:lang w:val="en-GB"/>
              </w:rPr>
              <w:t>Identifying national and local synergies</w:t>
            </w:r>
            <w:r w:rsidRPr="000F00C2">
              <w:rPr>
                <w:rFonts w:asciiTheme="minorHAnsi" w:hAnsiTheme="minorHAnsi"/>
                <w:sz w:val="18"/>
                <w:szCs w:val="18"/>
                <w:lang w:val="en-GB"/>
              </w:rPr>
              <w:t xml:space="preserve">: </w:t>
            </w:r>
            <w:r w:rsidRPr="000F00C2">
              <w:rPr>
                <w:rFonts w:asciiTheme="minorHAnsi" w:hAnsiTheme="minorHAnsi"/>
                <w:sz w:val="18"/>
                <w:szCs w:val="18"/>
                <w:lang w:val="en"/>
              </w:rPr>
              <w:t>To extend the established relationships with stakeholders and potential partners, the transversal and thematic projects continued to invite stakeholders to participate in workshops, meetings, seminars, field visits, and interview. As result of all this activities we have strong relationship and the commitment to be involved during the process of the establishment of the TLCs in each socio-ecologic region.</w:t>
            </w:r>
          </w:p>
          <w:p w14:paraId="799DD13C" w14:textId="77777777" w:rsidR="000F00C2" w:rsidRPr="00D168B6" w:rsidRDefault="000F00C2" w:rsidP="000F00C2">
            <w:pPr>
              <w:spacing w:after="0" w:line="264" w:lineRule="auto"/>
              <w:rPr>
                <w:rFonts w:asciiTheme="minorHAnsi" w:hAnsiTheme="minorHAnsi" w:cs="Courier New"/>
                <w:color w:val="212121"/>
                <w:sz w:val="18"/>
                <w:szCs w:val="18"/>
                <w:lang w:val="en" w:eastAsia="es-BO"/>
              </w:rPr>
            </w:pPr>
          </w:p>
          <w:p w14:paraId="7244D6A4" w14:textId="442BA7B9" w:rsidR="00FD0FF9" w:rsidRPr="00D168B6" w:rsidRDefault="00A80DD2" w:rsidP="009B2DA0">
            <w:pPr>
              <w:spacing w:after="0" w:line="264" w:lineRule="auto"/>
              <w:rPr>
                <w:rFonts w:asciiTheme="minorHAnsi" w:hAnsiTheme="minorHAnsi"/>
                <w:color w:val="212121"/>
                <w:sz w:val="18"/>
                <w:szCs w:val="18"/>
                <w:lang w:val="en"/>
              </w:rPr>
            </w:pPr>
            <w:r w:rsidRPr="009B2DA0">
              <w:rPr>
                <w:rFonts w:asciiTheme="minorHAnsi" w:hAnsiTheme="minorHAnsi"/>
                <w:b/>
                <w:sz w:val="18"/>
                <w:szCs w:val="18"/>
                <w:lang w:val="en-GB"/>
              </w:rPr>
              <w:t>Linked donor initiatives</w:t>
            </w:r>
            <w:r w:rsidR="009B2DA0">
              <w:rPr>
                <w:rFonts w:asciiTheme="minorHAnsi" w:hAnsiTheme="minorHAnsi"/>
                <w:b/>
                <w:sz w:val="18"/>
                <w:szCs w:val="18"/>
                <w:lang w:val="en-GB"/>
              </w:rPr>
              <w:t xml:space="preserve">: </w:t>
            </w:r>
            <w:r w:rsidR="009630E2" w:rsidRPr="009630E2">
              <w:rPr>
                <w:rFonts w:asciiTheme="minorHAnsi" w:hAnsiTheme="minorHAnsi"/>
                <w:sz w:val="18"/>
                <w:szCs w:val="18"/>
                <w:lang w:val="en-GB"/>
              </w:rPr>
              <w:t>the</w:t>
            </w:r>
            <w:r w:rsidR="009630E2">
              <w:rPr>
                <w:rFonts w:asciiTheme="minorHAnsi" w:hAnsiTheme="minorHAnsi"/>
                <w:b/>
                <w:sz w:val="18"/>
                <w:szCs w:val="18"/>
                <w:lang w:val="en-GB"/>
              </w:rPr>
              <w:t xml:space="preserve"> </w:t>
            </w:r>
            <w:r w:rsidR="003C1D1C" w:rsidRPr="003C1D1C">
              <w:rPr>
                <w:rFonts w:asciiTheme="minorHAnsi" w:hAnsiTheme="minorHAnsi"/>
                <w:sz w:val="18"/>
                <w:szCs w:val="18"/>
                <w:lang w:val="en-GB"/>
              </w:rPr>
              <w:t>established links</w:t>
            </w:r>
            <w:r w:rsidR="003C1D1C">
              <w:rPr>
                <w:rFonts w:asciiTheme="minorHAnsi" w:hAnsiTheme="minorHAnsi"/>
                <w:b/>
                <w:sz w:val="18"/>
                <w:szCs w:val="18"/>
                <w:lang w:val="en-GB"/>
              </w:rPr>
              <w:t xml:space="preserve"> </w:t>
            </w:r>
            <w:r w:rsidR="003C1D1C" w:rsidRPr="003C1D1C">
              <w:rPr>
                <w:rFonts w:asciiTheme="minorHAnsi" w:hAnsiTheme="minorHAnsi"/>
                <w:sz w:val="18"/>
                <w:szCs w:val="18"/>
                <w:lang w:val="en-GB"/>
              </w:rPr>
              <w:t xml:space="preserve">with </w:t>
            </w:r>
            <w:r w:rsidR="003C1D1C">
              <w:rPr>
                <w:rFonts w:asciiTheme="minorHAnsi" w:hAnsiTheme="minorHAnsi"/>
                <w:sz w:val="18"/>
                <w:szCs w:val="18"/>
                <w:lang w:val="en-GB"/>
              </w:rPr>
              <w:t xml:space="preserve">the European Commission and the Belgian Technical Cooperation (BTC) have been intensified and extended: </w:t>
            </w:r>
            <w:r w:rsidRPr="00D168B6">
              <w:rPr>
                <w:rFonts w:asciiTheme="minorHAnsi" w:hAnsiTheme="minorHAnsi"/>
                <w:color w:val="212121"/>
                <w:sz w:val="18"/>
                <w:szCs w:val="18"/>
                <w:lang w:val="en"/>
              </w:rPr>
              <w:t xml:space="preserve"> </w:t>
            </w:r>
          </w:p>
          <w:p w14:paraId="55EB4D5C" w14:textId="0B37B99B" w:rsidR="00235400" w:rsidRPr="00D168B6" w:rsidRDefault="00235400" w:rsidP="00D168B6">
            <w:pPr>
              <w:pStyle w:val="HTMLPreformatted"/>
              <w:numPr>
                <w:ilvl w:val="0"/>
                <w:numId w:val="45"/>
              </w:numPr>
              <w:shd w:val="clear" w:color="auto" w:fill="FFFFFF"/>
              <w:spacing w:line="264" w:lineRule="auto"/>
              <w:rPr>
                <w:rFonts w:asciiTheme="minorHAnsi" w:hAnsiTheme="minorHAnsi" w:cs="Arial"/>
                <w:color w:val="212121"/>
                <w:sz w:val="18"/>
                <w:szCs w:val="18"/>
                <w:lang w:val="en" w:eastAsia="nl-BE"/>
              </w:rPr>
            </w:pPr>
            <w:r w:rsidRPr="00D168B6">
              <w:rPr>
                <w:rFonts w:asciiTheme="minorHAnsi" w:hAnsiTheme="minorHAnsi" w:cs="Arial"/>
                <w:b/>
                <w:color w:val="212121"/>
                <w:sz w:val="18"/>
                <w:szCs w:val="18"/>
                <w:lang w:val="en" w:eastAsia="nl-BE"/>
              </w:rPr>
              <w:t xml:space="preserve">The </w:t>
            </w:r>
            <w:r w:rsidR="00A80DD2" w:rsidRPr="00D168B6">
              <w:rPr>
                <w:rFonts w:asciiTheme="minorHAnsi" w:hAnsiTheme="minorHAnsi" w:cs="Arial"/>
                <w:b/>
                <w:color w:val="212121"/>
                <w:sz w:val="18"/>
                <w:szCs w:val="18"/>
                <w:lang w:val="en" w:eastAsia="nl-BE"/>
              </w:rPr>
              <w:t>European Commission</w:t>
            </w:r>
            <w:r w:rsidRPr="00D168B6">
              <w:rPr>
                <w:rFonts w:asciiTheme="minorHAnsi" w:hAnsiTheme="minorHAnsi" w:cs="Arial"/>
                <w:b/>
                <w:color w:val="212121"/>
                <w:sz w:val="18"/>
                <w:szCs w:val="18"/>
                <w:lang w:val="en" w:eastAsia="nl-BE"/>
              </w:rPr>
              <w:t>:</w:t>
            </w:r>
            <w:r w:rsidR="00A80DD2" w:rsidRPr="00D168B6">
              <w:rPr>
                <w:rFonts w:asciiTheme="minorHAnsi" w:hAnsiTheme="minorHAnsi" w:cs="Arial"/>
                <w:color w:val="212121"/>
                <w:sz w:val="18"/>
                <w:szCs w:val="18"/>
                <w:lang w:val="en" w:eastAsia="nl-BE"/>
              </w:rPr>
              <w:t xml:space="preserve"> </w:t>
            </w:r>
            <w:r w:rsidRPr="00D168B6">
              <w:rPr>
                <w:rFonts w:asciiTheme="minorHAnsi" w:hAnsiTheme="minorHAnsi" w:cs="Arial"/>
                <w:color w:val="212121"/>
                <w:sz w:val="18"/>
                <w:szCs w:val="18"/>
                <w:lang w:val="en" w:eastAsia="nl-BE"/>
              </w:rPr>
              <w:t xml:space="preserve">will </w:t>
            </w:r>
            <w:r w:rsidR="009B2DA0">
              <w:rPr>
                <w:rFonts w:asciiTheme="minorHAnsi" w:hAnsiTheme="minorHAnsi" w:cs="Arial"/>
                <w:color w:val="212121"/>
                <w:sz w:val="18"/>
                <w:szCs w:val="18"/>
                <w:lang w:val="en" w:eastAsia="nl-BE"/>
              </w:rPr>
              <w:t xml:space="preserve">next years </w:t>
            </w:r>
            <w:r w:rsidRPr="00D168B6">
              <w:rPr>
                <w:rFonts w:asciiTheme="minorHAnsi" w:hAnsiTheme="minorHAnsi" w:cs="Arial"/>
                <w:color w:val="212121"/>
                <w:sz w:val="18"/>
                <w:szCs w:val="18"/>
                <w:lang w:val="en" w:eastAsia="nl-BE"/>
              </w:rPr>
              <w:t xml:space="preserve">focus </w:t>
            </w:r>
            <w:r w:rsidR="00A80DD2" w:rsidRPr="00D168B6">
              <w:rPr>
                <w:rFonts w:asciiTheme="minorHAnsi" w:hAnsiTheme="minorHAnsi" w:cs="Arial"/>
                <w:color w:val="212121"/>
                <w:sz w:val="18"/>
                <w:szCs w:val="18"/>
                <w:lang w:val="en" w:eastAsia="nl-BE"/>
              </w:rPr>
              <w:t>on issues of poverty reduction (objective of the program IUC- inclusive development in poor and vulnerable communities), food security (related to project 3 - food s</w:t>
            </w:r>
            <w:r w:rsidRPr="00D168B6">
              <w:rPr>
                <w:rFonts w:asciiTheme="minorHAnsi" w:hAnsiTheme="minorHAnsi" w:cs="Arial"/>
                <w:color w:val="212121"/>
                <w:sz w:val="18"/>
                <w:szCs w:val="18"/>
                <w:lang w:val="en" w:eastAsia="nl-BE"/>
              </w:rPr>
              <w:t>ecurity and sovereignty</w:t>
            </w:r>
            <w:r w:rsidR="00A80DD2" w:rsidRPr="00D168B6">
              <w:rPr>
                <w:rFonts w:asciiTheme="minorHAnsi" w:hAnsiTheme="minorHAnsi" w:cs="Arial"/>
                <w:color w:val="212121"/>
                <w:sz w:val="18"/>
                <w:szCs w:val="18"/>
                <w:lang w:val="en" w:eastAsia="nl-BE"/>
              </w:rPr>
              <w:t>), strengthening the state and democracy (related to the project 4- indigenous rights and conflict resolution), potable water (related to project 2 - integrated water management), environment (related to the project 2 and transversal theme in all projects) and education (teaching and research).</w:t>
            </w:r>
            <w:r w:rsidRPr="00D168B6">
              <w:rPr>
                <w:rFonts w:asciiTheme="minorHAnsi" w:hAnsiTheme="minorHAnsi" w:cs="Arial"/>
                <w:color w:val="212121"/>
                <w:sz w:val="18"/>
                <w:szCs w:val="18"/>
                <w:lang w:val="en" w:eastAsia="nl-BE"/>
              </w:rPr>
              <w:t xml:space="preserve"> </w:t>
            </w:r>
            <w:r w:rsidR="009B2DA0">
              <w:rPr>
                <w:rFonts w:asciiTheme="minorHAnsi" w:hAnsiTheme="minorHAnsi" w:cs="Arial"/>
                <w:color w:val="212121"/>
                <w:sz w:val="18"/>
                <w:szCs w:val="18"/>
                <w:lang w:val="en" w:eastAsia="nl-BE"/>
              </w:rPr>
              <w:t>In this case t</w:t>
            </w:r>
            <w:r w:rsidRPr="00D168B6">
              <w:rPr>
                <w:rFonts w:asciiTheme="minorHAnsi" w:hAnsiTheme="minorHAnsi" w:cs="Arial"/>
                <w:color w:val="212121"/>
                <w:sz w:val="18"/>
                <w:szCs w:val="18"/>
                <w:lang w:val="en" w:eastAsia="nl-BE"/>
              </w:rPr>
              <w:t xml:space="preserve">he possibilities and opportunities to make synergies are high. </w:t>
            </w:r>
            <w:r w:rsidR="003C1D1C">
              <w:rPr>
                <w:rFonts w:asciiTheme="minorHAnsi" w:hAnsiTheme="minorHAnsi" w:cs="Arial"/>
                <w:color w:val="212121"/>
                <w:sz w:val="18"/>
                <w:szCs w:val="18"/>
                <w:lang w:val="en" w:eastAsia="nl-BE"/>
              </w:rPr>
              <w:t xml:space="preserve">The </w:t>
            </w:r>
            <w:r w:rsidRPr="00D168B6">
              <w:rPr>
                <w:rFonts w:asciiTheme="minorHAnsi" w:hAnsiTheme="minorHAnsi" w:cs="Arial"/>
                <w:color w:val="212121"/>
                <w:sz w:val="18"/>
                <w:szCs w:val="18"/>
                <w:lang w:val="en" w:eastAsia="nl-BE"/>
              </w:rPr>
              <w:t xml:space="preserve">first </w:t>
            </w:r>
            <w:r w:rsidR="009B2DA0">
              <w:rPr>
                <w:rFonts w:asciiTheme="minorHAnsi" w:hAnsiTheme="minorHAnsi" w:cs="Arial"/>
                <w:color w:val="212121"/>
                <w:sz w:val="18"/>
                <w:szCs w:val="18"/>
                <w:lang w:val="en" w:eastAsia="nl-BE"/>
              </w:rPr>
              <w:t xml:space="preserve">contacts </w:t>
            </w:r>
            <w:r w:rsidR="003C1D1C">
              <w:rPr>
                <w:rFonts w:asciiTheme="minorHAnsi" w:hAnsiTheme="minorHAnsi" w:cs="Arial"/>
                <w:color w:val="212121"/>
                <w:sz w:val="18"/>
                <w:szCs w:val="18"/>
                <w:lang w:val="en" w:eastAsia="nl-BE"/>
              </w:rPr>
              <w:t xml:space="preserve">established </w:t>
            </w:r>
            <w:r w:rsidR="009B2DA0" w:rsidRPr="00D168B6">
              <w:rPr>
                <w:rFonts w:asciiTheme="minorHAnsi" w:hAnsiTheme="minorHAnsi" w:cs="Arial"/>
                <w:color w:val="212121"/>
                <w:sz w:val="18"/>
                <w:szCs w:val="18"/>
                <w:lang w:val="en" w:eastAsia="nl-BE"/>
              </w:rPr>
              <w:t xml:space="preserve">with the Delegation of </w:t>
            </w:r>
            <w:r w:rsidR="009B2DA0">
              <w:rPr>
                <w:rFonts w:asciiTheme="minorHAnsi" w:hAnsiTheme="minorHAnsi" w:cs="Arial"/>
                <w:color w:val="212121"/>
                <w:sz w:val="18"/>
                <w:szCs w:val="18"/>
                <w:lang w:val="en" w:eastAsia="nl-BE"/>
              </w:rPr>
              <w:t xml:space="preserve">the </w:t>
            </w:r>
            <w:r w:rsidR="009B2DA0" w:rsidRPr="00D168B6">
              <w:rPr>
                <w:rFonts w:asciiTheme="minorHAnsi" w:hAnsiTheme="minorHAnsi" w:cs="Arial"/>
                <w:color w:val="212121"/>
                <w:sz w:val="18"/>
                <w:szCs w:val="18"/>
                <w:lang w:val="en" w:eastAsia="nl-BE"/>
              </w:rPr>
              <w:t>European Commission in Bolivia</w:t>
            </w:r>
            <w:r w:rsidR="009B2DA0">
              <w:rPr>
                <w:rFonts w:asciiTheme="minorHAnsi" w:hAnsiTheme="minorHAnsi" w:cs="Arial"/>
                <w:color w:val="212121"/>
                <w:sz w:val="18"/>
                <w:szCs w:val="18"/>
                <w:lang w:val="en" w:eastAsia="nl-BE"/>
              </w:rPr>
              <w:t xml:space="preserve"> </w:t>
            </w:r>
            <w:r w:rsidR="003C1D1C">
              <w:rPr>
                <w:rFonts w:asciiTheme="minorHAnsi" w:hAnsiTheme="minorHAnsi" w:cs="Arial"/>
                <w:color w:val="212121"/>
                <w:sz w:val="18"/>
                <w:szCs w:val="18"/>
                <w:lang w:val="en" w:eastAsia="nl-BE"/>
              </w:rPr>
              <w:t xml:space="preserve">during the previuos period have been extended with a mutual interest to realize projects in the same macro and micro-regions of La Paz, Cochabamba, Santa Cruz and Tarija. </w:t>
            </w:r>
            <w:r w:rsidR="006E3644" w:rsidRPr="00D168B6">
              <w:rPr>
                <w:rFonts w:asciiTheme="minorHAnsi" w:hAnsiTheme="minorHAnsi" w:cs="Arial"/>
                <w:color w:val="212121"/>
                <w:sz w:val="18"/>
                <w:szCs w:val="18"/>
                <w:lang w:val="en" w:eastAsia="nl-BE"/>
              </w:rPr>
              <w:t xml:space="preserve">  </w:t>
            </w:r>
            <w:r w:rsidRPr="00D168B6">
              <w:rPr>
                <w:rFonts w:asciiTheme="minorHAnsi" w:hAnsiTheme="minorHAnsi" w:cs="Arial"/>
                <w:color w:val="212121"/>
                <w:sz w:val="18"/>
                <w:szCs w:val="18"/>
                <w:lang w:val="en" w:eastAsia="nl-BE"/>
              </w:rPr>
              <w:t xml:space="preserve"> </w:t>
            </w:r>
            <w:r w:rsidR="00A80DD2" w:rsidRPr="00D168B6">
              <w:rPr>
                <w:rFonts w:asciiTheme="minorHAnsi" w:hAnsiTheme="minorHAnsi" w:cs="Arial"/>
                <w:color w:val="212121"/>
                <w:sz w:val="18"/>
                <w:szCs w:val="18"/>
                <w:lang w:val="en" w:eastAsia="nl-BE"/>
              </w:rPr>
              <w:t xml:space="preserve"> </w:t>
            </w:r>
          </w:p>
          <w:p w14:paraId="26B3BEEF" w14:textId="5E2852F4" w:rsidR="0006491C" w:rsidRPr="0006491C" w:rsidRDefault="00A80DD2" w:rsidP="0006491C">
            <w:pPr>
              <w:pStyle w:val="HTMLPreformatted"/>
              <w:numPr>
                <w:ilvl w:val="0"/>
                <w:numId w:val="45"/>
              </w:numPr>
              <w:shd w:val="clear" w:color="auto" w:fill="FFFFFF"/>
              <w:spacing w:line="264" w:lineRule="auto"/>
              <w:rPr>
                <w:sz w:val="18"/>
                <w:lang w:val="en-US"/>
              </w:rPr>
            </w:pPr>
            <w:r w:rsidRPr="00D168B6">
              <w:rPr>
                <w:rFonts w:asciiTheme="minorHAnsi" w:hAnsiTheme="minorHAnsi" w:cs="Arial"/>
                <w:b/>
                <w:color w:val="212121"/>
                <w:sz w:val="18"/>
                <w:szCs w:val="18"/>
                <w:lang w:val="en" w:eastAsia="nl-BE"/>
              </w:rPr>
              <w:t>Belgian Technical Cooperation</w:t>
            </w:r>
            <w:r w:rsidR="006E3644" w:rsidRPr="00D168B6">
              <w:rPr>
                <w:rFonts w:asciiTheme="minorHAnsi" w:hAnsiTheme="minorHAnsi" w:cs="Arial"/>
                <w:b/>
                <w:color w:val="212121"/>
                <w:sz w:val="18"/>
                <w:szCs w:val="18"/>
                <w:lang w:val="en" w:eastAsia="nl-BE"/>
              </w:rPr>
              <w:t xml:space="preserve"> (BTC)</w:t>
            </w:r>
            <w:r w:rsidRPr="00D168B6">
              <w:rPr>
                <w:rFonts w:asciiTheme="minorHAnsi" w:hAnsiTheme="minorHAnsi" w:cs="Arial"/>
                <w:b/>
                <w:color w:val="212121"/>
                <w:sz w:val="18"/>
                <w:szCs w:val="18"/>
                <w:lang w:val="en" w:eastAsia="nl-BE"/>
              </w:rPr>
              <w:t>:</w:t>
            </w:r>
            <w:r w:rsidR="006E3644" w:rsidRPr="00D168B6">
              <w:rPr>
                <w:rFonts w:asciiTheme="minorHAnsi" w:hAnsiTheme="minorHAnsi" w:cs="Arial"/>
                <w:color w:val="212121"/>
                <w:sz w:val="18"/>
                <w:szCs w:val="18"/>
                <w:lang w:val="en" w:eastAsia="nl-BE"/>
              </w:rPr>
              <w:t xml:space="preserve"> </w:t>
            </w:r>
            <w:r w:rsidR="009B2DA0" w:rsidRPr="00D168B6">
              <w:rPr>
                <w:rFonts w:asciiTheme="minorHAnsi" w:hAnsiTheme="minorHAnsi" w:cs="Arial"/>
                <w:color w:val="212121"/>
                <w:sz w:val="18"/>
                <w:szCs w:val="18"/>
                <w:lang w:val="en" w:eastAsia="nl-BE"/>
              </w:rPr>
              <w:t>since 2015</w:t>
            </w:r>
            <w:r w:rsidR="00C62FB7">
              <w:rPr>
                <w:rFonts w:asciiTheme="minorHAnsi" w:hAnsiTheme="minorHAnsi" w:cs="Arial"/>
                <w:color w:val="212121"/>
                <w:sz w:val="18"/>
                <w:szCs w:val="18"/>
                <w:lang w:val="en" w:eastAsia="nl-BE"/>
              </w:rPr>
              <w:t>, t</w:t>
            </w:r>
            <w:r w:rsidR="006E3644" w:rsidRPr="00D168B6">
              <w:rPr>
                <w:rFonts w:asciiTheme="minorHAnsi" w:hAnsiTheme="minorHAnsi" w:cs="Arial"/>
                <w:color w:val="212121"/>
                <w:sz w:val="18"/>
                <w:szCs w:val="18"/>
                <w:lang w:val="en" w:eastAsia="nl-BE"/>
              </w:rPr>
              <w:t xml:space="preserve">hey </w:t>
            </w:r>
            <w:r w:rsidR="009B2DA0">
              <w:rPr>
                <w:rFonts w:asciiTheme="minorHAnsi" w:hAnsiTheme="minorHAnsi" w:cs="Arial"/>
                <w:color w:val="212121"/>
                <w:sz w:val="18"/>
                <w:szCs w:val="18"/>
                <w:lang w:val="en" w:eastAsia="nl-BE"/>
              </w:rPr>
              <w:t xml:space="preserve">have been </w:t>
            </w:r>
            <w:r w:rsidR="006E3644" w:rsidRPr="00D168B6">
              <w:rPr>
                <w:rFonts w:asciiTheme="minorHAnsi" w:hAnsiTheme="minorHAnsi" w:cs="Arial"/>
                <w:color w:val="212121"/>
                <w:sz w:val="18"/>
                <w:szCs w:val="18"/>
                <w:lang w:val="en" w:eastAsia="nl-BE"/>
              </w:rPr>
              <w:t>w</w:t>
            </w:r>
            <w:r w:rsidRPr="00D168B6">
              <w:rPr>
                <w:rFonts w:asciiTheme="minorHAnsi" w:hAnsiTheme="minorHAnsi" w:cs="Arial"/>
                <w:color w:val="212121"/>
                <w:sz w:val="18"/>
                <w:szCs w:val="18"/>
                <w:lang w:val="en" w:eastAsia="nl-BE"/>
              </w:rPr>
              <w:t>orking on programs of Health, Environment and Water (related to Project 2), Rural Development and Interculturalism (related to the project 4)</w:t>
            </w:r>
            <w:r w:rsidR="006E3644" w:rsidRPr="00D168B6">
              <w:rPr>
                <w:rFonts w:asciiTheme="minorHAnsi" w:hAnsiTheme="minorHAnsi" w:cs="Arial"/>
                <w:color w:val="212121"/>
                <w:sz w:val="18"/>
                <w:szCs w:val="18"/>
                <w:lang w:val="en" w:eastAsia="nl-BE"/>
              </w:rPr>
              <w:t xml:space="preserve">. We </w:t>
            </w:r>
            <w:r w:rsidR="00C62FB7">
              <w:rPr>
                <w:rFonts w:asciiTheme="minorHAnsi" w:hAnsiTheme="minorHAnsi" w:cs="Arial"/>
                <w:color w:val="212121"/>
                <w:sz w:val="18"/>
                <w:szCs w:val="18"/>
                <w:lang w:val="en" w:eastAsia="nl-BE"/>
              </w:rPr>
              <w:t>e</w:t>
            </w:r>
            <w:r w:rsidR="006E3644" w:rsidRPr="00D168B6">
              <w:rPr>
                <w:rFonts w:asciiTheme="minorHAnsi" w:hAnsiTheme="minorHAnsi" w:cs="Arial"/>
                <w:color w:val="212121"/>
                <w:sz w:val="18"/>
                <w:szCs w:val="18"/>
                <w:lang w:val="en" w:eastAsia="nl-BE"/>
              </w:rPr>
              <w:t xml:space="preserve">stablished </w:t>
            </w:r>
            <w:r w:rsidR="00C62FB7">
              <w:rPr>
                <w:rFonts w:asciiTheme="minorHAnsi" w:hAnsiTheme="minorHAnsi" w:cs="Arial"/>
                <w:color w:val="212121"/>
                <w:sz w:val="18"/>
                <w:szCs w:val="18"/>
                <w:lang w:val="en" w:eastAsia="nl-BE"/>
              </w:rPr>
              <w:t>a</w:t>
            </w:r>
            <w:r w:rsidR="006E3644" w:rsidRPr="00D168B6">
              <w:rPr>
                <w:rFonts w:asciiTheme="minorHAnsi" w:hAnsiTheme="minorHAnsi" w:cs="Arial"/>
                <w:color w:val="212121"/>
                <w:sz w:val="18"/>
                <w:szCs w:val="18"/>
                <w:lang w:val="en" w:eastAsia="nl-BE"/>
              </w:rPr>
              <w:t xml:space="preserve"> first approach with the National Technical Assistant of the BTC through their programs PAERE (Project of Water and Environment Resources) and FC (Capacity Strengthening)</w:t>
            </w:r>
            <w:r w:rsidR="00C62FB7">
              <w:rPr>
                <w:rFonts w:asciiTheme="minorHAnsi" w:hAnsiTheme="minorHAnsi" w:cs="Arial"/>
                <w:color w:val="212121"/>
                <w:sz w:val="18"/>
                <w:szCs w:val="18"/>
                <w:lang w:val="en" w:eastAsia="nl-BE"/>
              </w:rPr>
              <w:t xml:space="preserve">. </w:t>
            </w:r>
            <w:r w:rsidR="003C1D1C">
              <w:rPr>
                <w:rFonts w:asciiTheme="minorHAnsi" w:hAnsiTheme="minorHAnsi" w:cs="Arial"/>
                <w:color w:val="212121"/>
                <w:sz w:val="18"/>
                <w:szCs w:val="18"/>
                <w:lang w:val="en" w:eastAsia="nl-BE"/>
              </w:rPr>
              <w:t xml:space="preserve">Contacts with the BTC </w:t>
            </w:r>
            <w:r w:rsidR="00925A1C">
              <w:rPr>
                <w:rFonts w:asciiTheme="minorHAnsi" w:hAnsiTheme="minorHAnsi" w:cs="Arial"/>
                <w:color w:val="212121"/>
                <w:sz w:val="18"/>
                <w:szCs w:val="18"/>
                <w:lang w:val="en" w:eastAsia="nl-BE"/>
              </w:rPr>
              <w:t xml:space="preserve">and </w:t>
            </w:r>
            <w:r w:rsidR="00114B17">
              <w:rPr>
                <w:rFonts w:asciiTheme="minorHAnsi" w:hAnsiTheme="minorHAnsi" w:cs="Arial"/>
                <w:color w:val="212121"/>
                <w:sz w:val="18"/>
                <w:szCs w:val="18"/>
                <w:lang w:val="en" w:eastAsia="nl-BE"/>
              </w:rPr>
              <w:t xml:space="preserve">other </w:t>
            </w:r>
            <w:r w:rsidR="00925A1C">
              <w:rPr>
                <w:rFonts w:asciiTheme="minorHAnsi" w:hAnsiTheme="minorHAnsi" w:cs="Arial"/>
                <w:color w:val="212121"/>
                <w:sz w:val="18"/>
                <w:szCs w:val="18"/>
                <w:lang w:val="en" w:eastAsia="nl-BE"/>
              </w:rPr>
              <w:t xml:space="preserve">Belgian actors </w:t>
            </w:r>
            <w:r w:rsidR="003C1D1C">
              <w:rPr>
                <w:rFonts w:asciiTheme="minorHAnsi" w:hAnsiTheme="minorHAnsi" w:cs="Arial"/>
                <w:color w:val="212121"/>
                <w:sz w:val="18"/>
                <w:szCs w:val="18"/>
                <w:lang w:val="en" w:eastAsia="nl-BE"/>
              </w:rPr>
              <w:t>have been extended</w:t>
            </w:r>
            <w:r w:rsidR="00114B17">
              <w:rPr>
                <w:rFonts w:asciiTheme="minorHAnsi" w:hAnsiTheme="minorHAnsi" w:cs="Arial"/>
                <w:color w:val="212121"/>
                <w:sz w:val="18"/>
                <w:szCs w:val="18"/>
                <w:lang w:val="en" w:eastAsia="nl-BE"/>
              </w:rPr>
              <w:t xml:space="preserve">. For example, the city of </w:t>
            </w:r>
            <w:proofErr w:type="spellStart"/>
            <w:r w:rsidR="00114B17">
              <w:rPr>
                <w:rFonts w:asciiTheme="minorHAnsi" w:hAnsiTheme="minorHAnsi" w:cs="Arial"/>
                <w:color w:val="212121"/>
                <w:sz w:val="18"/>
                <w:szCs w:val="18"/>
                <w:lang w:val="en" w:eastAsia="nl-BE"/>
              </w:rPr>
              <w:t>Brasschaat</w:t>
            </w:r>
            <w:proofErr w:type="spellEnd"/>
            <w:r w:rsidR="00114B17">
              <w:rPr>
                <w:rFonts w:asciiTheme="minorHAnsi" w:hAnsiTheme="minorHAnsi" w:cs="Arial"/>
                <w:color w:val="212121"/>
                <w:sz w:val="18"/>
                <w:szCs w:val="18"/>
                <w:lang w:val="en" w:eastAsia="nl-BE"/>
              </w:rPr>
              <w:t xml:space="preserve"> was approached as they have an official city connection (“</w:t>
            </w:r>
            <w:proofErr w:type="spellStart"/>
            <w:r w:rsidR="00114B17">
              <w:rPr>
                <w:rFonts w:asciiTheme="minorHAnsi" w:hAnsiTheme="minorHAnsi" w:cs="Arial"/>
                <w:color w:val="212121"/>
                <w:sz w:val="18"/>
                <w:szCs w:val="18"/>
                <w:lang w:val="en" w:eastAsia="nl-BE"/>
              </w:rPr>
              <w:t>stedenband</w:t>
            </w:r>
            <w:proofErr w:type="spellEnd"/>
            <w:r w:rsidR="00114B17">
              <w:rPr>
                <w:rFonts w:asciiTheme="minorHAnsi" w:hAnsiTheme="minorHAnsi" w:cs="Arial"/>
                <w:color w:val="212121"/>
                <w:sz w:val="18"/>
                <w:szCs w:val="18"/>
                <w:lang w:val="en" w:eastAsia="nl-BE"/>
              </w:rPr>
              <w:t xml:space="preserve">”) with Tarija. A meeting between the representatives of </w:t>
            </w:r>
            <w:proofErr w:type="spellStart"/>
            <w:r w:rsidR="00114B17">
              <w:rPr>
                <w:rFonts w:asciiTheme="minorHAnsi" w:hAnsiTheme="minorHAnsi" w:cs="Arial"/>
                <w:color w:val="212121"/>
                <w:sz w:val="18"/>
                <w:szCs w:val="18"/>
                <w:lang w:val="en" w:eastAsia="nl-BE"/>
              </w:rPr>
              <w:t>Brasschaat</w:t>
            </w:r>
            <w:proofErr w:type="spellEnd"/>
            <w:r w:rsidR="00114B17">
              <w:rPr>
                <w:rFonts w:asciiTheme="minorHAnsi" w:hAnsiTheme="minorHAnsi" w:cs="Arial"/>
                <w:color w:val="212121"/>
                <w:sz w:val="18"/>
                <w:szCs w:val="18"/>
                <w:lang w:val="en" w:eastAsia="nl-BE"/>
              </w:rPr>
              <w:t>, the PSU and P2 (water project), together with a VLIR-UOS representative, took place.</w:t>
            </w:r>
            <w:r w:rsidR="00925A1C">
              <w:rPr>
                <w:rFonts w:asciiTheme="minorHAnsi" w:hAnsiTheme="minorHAnsi" w:cs="Arial"/>
                <w:color w:val="212121"/>
                <w:sz w:val="18"/>
                <w:szCs w:val="18"/>
                <w:lang w:val="en" w:eastAsia="nl-BE"/>
              </w:rPr>
              <w:t xml:space="preserve"> </w:t>
            </w:r>
            <w:r w:rsidR="0006491C">
              <w:rPr>
                <w:rFonts w:asciiTheme="minorHAnsi" w:hAnsiTheme="minorHAnsi" w:cs="Arial"/>
                <w:color w:val="212121"/>
                <w:sz w:val="18"/>
                <w:szCs w:val="18"/>
                <w:lang w:val="en" w:eastAsia="nl-BE"/>
              </w:rPr>
              <w:t xml:space="preserve">This idea of cooperation with Flemish-Bolivian related communities within the framework of </w:t>
            </w:r>
            <w:r w:rsidR="00114B17">
              <w:rPr>
                <w:rFonts w:asciiTheme="minorHAnsi" w:hAnsiTheme="minorHAnsi" w:cs="Arial"/>
                <w:color w:val="212121"/>
                <w:sz w:val="18"/>
                <w:szCs w:val="18"/>
                <w:lang w:val="en" w:eastAsia="nl-BE"/>
              </w:rPr>
              <w:t>the “</w:t>
            </w:r>
            <w:proofErr w:type="spellStart"/>
            <w:r w:rsidR="00114B17">
              <w:rPr>
                <w:rFonts w:asciiTheme="minorHAnsi" w:hAnsiTheme="minorHAnsi" w:cs="Arial"/>
                <w:color w:val="212121"/>
                <w:sz w:val="18"/>
                <w:szCs w:val="18"/>
                <w:lang w:val="en" w:eastAsia="nl-BE"/>
              </w:rPr>
              <w:t>Stedenbanden</w:t>
            </w:r>
            <w:proofErr w:type="spellEnd"/>
            <w:r w:rsidR="00114B17">
              <w:rPr>
                <w:rFonts w:asciiTheme="minorHAnsi" w:hAnsiTheme="minorHAnsi" w:cs="Arial"/>
                <w:color w:val="212121"/>
                <w:sz w:val="18"/>
                <w:szCs w:val="18"/>
                <w:lang w:val="en" w:eastAsia="nl-BE"/>
              </w:rPr>
              <w:t>”</w:t>
            </w:r>
            <w:r w:rsidR="0006491C">
              <w:rPr>
                <w:rFonts w:asciiTheme="minorHAnsi" w:hAnsiTheme="minorHAnsi" w:cs="Arial"/>
                <w:color w:val="212121"/>
                <w:sz w:val="18"/>
                <w:szCs w:val="18"/>
                <w:lang w:val="en" w:eastAsia="nl-BE"/>
              </w:rPr>
              <w:t xml:space="preserve"> </w:t>
            </w:r>
            <w:proofErr w:type="spellStart"/>
            <w:r w:rsidR="0006491C">
              <w:rPr>
                <w:rFonts w:asciiTheme="minorHAnsi" w:hAnsiTheme="minorHAnsi" w:cs="Arial"/>
                <w:color w:val="212121"/>
                <w:sz w:val="18"/>
                <w:szCs w:val="18"/>
                <w:lang w:val="en" w:eastAsia="nl-BE"/>
              </w:rPr>
              <w:t>wil</w:t>
            </w:r>
            <w:proofErr w:type="spellEnd"/>
            <w:r w:rsidR="0006491C">
              <w:rPr>
                <w:rFonts w:asciiTheme="minorHAnsi" w:hAnsiTheme="minorHAnsi" w:cs="Arial"/>
                <w:color w:val="212121"/>
                <w:sz w:val="18"/>
                <w:szCs w:val="18"/>
                <w:lang w:val="en" w:eastAsia="nl-BE"/>
              </w:rPr>
              <w:t xml:space="preserve"> be expanded throughout the first phase of the IUC programme. </w:t>
            </w:r>
          </w:p>
          <w:p w14:paraId="08F6035C" w14:textId="409865D1" w:rsidR="00B9102F" w:rsidRPr="00B9102F" w:rsidRDefault="0006491C" w:rsidP="009D5ED7">
            <w:pPr>
              <w:pStyle w:val="HTMLPreformatted"/>
              <w:shd w:val="clear" w:color="auto" w:fill="FFFFFF"/>
              <w:spacing w:line="264" w:lineRule="auto"/>
              <w:rPr>
                <w:sz w:val="18"/>
                <w:lang w:val="en-US"/>
              </w:rPr>
            </w:pPr>
            <w:r>
              <w:rPr>
                <w:rFonts w:asciiTheme="minorHAnsi" w:hAnsiTheme="minorHAnsi" w:cs="Arial"/>
                <w:color w:val="212121"/>
                <w:sz w:val="18"/>
                <w:szCs w:val="18"/>
                <w:lang w:val="en" w:eastAsia="nl-BE"/>
              </w:rPr>
              <w:t xml:space="preserve">Furthermore, </w:t>
            </w:r>
            <w:r w:rsidR="003A392E">
              <w:rPr>
                <w:rFonts w:asciiTheme="minorHAnsi" w:hAnsiTheme="minorHAnsi" w:cs="Arial"/>
                <w:color w:val="212121"/>
                <w:sz w:val="18"/>
                <w:szCs w:val="18"/>
                <w:lang w:val="en" w:eastAsia="nl-BE"/>
              </w:rPr>
              <w:t xml:space="preserve">the identification of synergies with national and regional stakeholders </w:t>
            </w:r>
            <w:r w:rsidR="00EB3E0F">
              <w:rPr>
                <w:rFonts w:asciiTheme="minorHAnsi" w:hAnsiTheme="minorHAnsi" w:cs="Arial"/>
                <w:color w:val="212121"/>
                <w:sz w:val="18"/>
                <w:szCs w:val="18"/>
                <w:lang w:val="en" w:eastAsia="nl-BE"/>
              </w:rPr>
              <w:t xml:space="preserve">(governments, policy makers, </w:t>
            </w:r>
            <w:r w:rsidR="00EB3E0F">
              <w:rPr>
                <w:rFonts w:asciiTheme="minorHAnsi" w:hAnsiTheme="minorHAnsi" w:cs="Arial"/>
                <w:color w:val="212121"/>
                <w:sz w:val="18"/>
                <w:szCs w:val="18"/>
                <w:lang w:val="en" w:eastAsia="nl-BE"/>
              </w:rPr>
              <w:lastRenderedPageBreak/>
              <w:t xml:space="preserve">NGOs, International Cooperation, public and private actors, social movements and/or grassroots organizations) </w:t>
            </w:r>
            <w:r w:rsidR="003A392E">
              <w:rPr>
                <w:rFonts w:asciiTheme="minorHAnsi" w:hAnsiTheme="minorHAnsi" w:cs="Arial"/>
                <w:color w:val="212121"/>
                <w:sz w:val="18"/>
                <w:szCs w:val="18"/>
                <w:lang w:val="en" w:eastAsia="nl-BE"/>
              </w:rPr>
              <w:t xml:space="preserve">has been expanded by all 6 IUC projects after the </w:t>
            </w:r>
            <w:r w:rsidR="00EB3E0F">
              <w:rPr>
                <w:rFonts w:asciiTheme="minorHAnsi" w:hAnsiTheme="minorHAnsi" w:cs="Arial"/>
                <w:color w:val="212121"/>
                <w:sz w:val="18"/>
                <w:szCs w:val="18"/>
                <w:lang w:val="en" w:eastAsia="nl-BE"/>
              </w:rPr>
              <w:t xml:space="preserve">academic core teams of the TLCs were created </w:t>
            </w:r>
            <w:r w:rsidR="001219F0">
              <w:rPr>
                <w:rFonts w:asciiTheme="minorHAnsi" w:hAnsiTheme="minorHAnsi" w:cs="Arial"/>
                <w:color w:val="212121"/>
                <w:sz w:val="18"/>
                <w:szCs w:val="18"/>
                <w:lang w:val="en" w:eastAsia="nl-BE"/>
              </w:rPr>
              <w:t xml:space="preserve">at each regional UCB University. </w:t>
            </w:r>
            <w:r w:rsidR="00585EC2">
              <w:rPr>
                <w:rFonts w:asciiTheme="minorHAnsi" w:hAnsiTheme="minorHAnsi" w:cs="Arial"/>
                <w:color w:val="212121"/>
                <w:sz w:val="18"/>
                <w:szCs w:val="18"/>
                <w:lang w:val="en" w:eastAsia="nl-BE"/>
              </w:rPr>
              <w:t xml:space="preserve">Once the 4 regional TLCs were installed and the TLC coordinators appointed (June-July 2016), theme projects involved national and regional stakeholders to start at each regional UCB the selection process of a local vulnerable region in which the </w:t>
            </w:r>
            <w:r w:rsidR="009D5ED7">
              <w:rPr>
                <w:rFonts w:asciiTheme="minorHAnsi" w:hAnsiTheme="minorHAnsi" w:cs="Arial"/>
                <w:color w:val="212121"/>
                <w:sz w:val="18"/>
                <w:szCs w:val="18"/>
                <w:lang w:val="en" w:eastAsia="nl-BE"/>
              </w:rPr>
              <w:t xml:space="preserve">transdisciplinary </w:t>
            </w:r>
            <w:r w:rsidR="00585EC2">
              <w:rPr>
                <w:rFonts w:asciiTheme="minorHAnsi" w:hAnsiTheme="minorHAnsi" w:cs="Arial"/>
                <w:color w:val="212121"/>
                <w:sz w:val="18"/>
                <w:szCs w:val="18"/>
                <w:lang w:val="en" w:eastAsia="nl-BE"/>
              </w:rPr>
              <w:t>learning community approach would be implemente</w:t>
            </w:r>
            <w:r w:rsidR="009D5ED7">
              <w:rPr>
                <w:rFonts w:asciiTheme="minorHAnsi" w:hAnsiTheme="minorHAnsi" w:cs="Arial"/>
                <w:color w:val="212121"/>
                <w:sz w:val="18"/>
                <w:szCs w:val="18"/>
                <w:lang w:val="en" w:eastAsia="nl-BE"/>
              </w:rPr>
              <w:t>d</w:t>
            </w:r>
            <w:r w:rsidR="00890242">
              <w:rPr>
                <w:rFonts w:asciiTheme="minorHAnsi" w:hAnsiTheme="minorHAnsi" w:cs="Arial"/>
                <w:color w:val="212121"/>
                <w:sz w:val="18"/>
                <w:szCs w:val="18"/>
                <w:lang w:val="en" w:eastAsia="nl-BE"/>
              </w:rPr>
              <w:t xml:space="preserve"> (for more information, see part 4 below)</w:t>
            </w:r>
            <w:r w:rsidR="009D5ED7">
              <w:rPr>
                <w:rFonts w:asciiTheme="minorHAnsi" w:hAnsiTheme="minorHAnsi" w:cs="Arial"/>
                <w:color w:val="212121"/>
                <w:sz w:val="18"/>
                <w:szCs w:val="18"/>
                <w:lang w:val="en" w:eastAsia="nl-BE"/>
              </w:rPr>
              <w:t xml:space="preserve">. </w:t>
            </w:r>
            <w:r w:rsidR="00585EC2">
              <w:rPr>
                <w:rFonts w:asciiTheme="minorHAnsi" w:hAnsiTheme="minorHAnsi" w:cs="Arial"/>
                <w:color w:val="212121"/>
                <w:sz w:val="18"/>
                <w:szCs w:val="18"/>
                <w:lang w:val="en" w:eastAsia="nl-BE"/>
              </w:rPr>
              <w:t xml:space="preserve"> </w:t>
            </w:r>
            <w:r>
              <w:rPr>
                <w:rFonts w:asciiTheme="minorHAnsi" w:hAnsiTheme="minorHAnsi" w:cs="Arial"/>
                <w:color w:val="212121"/>
                <w:sz w:val="18"/>
                <w:szCs w:val="18"/>
                <w:lang w:val="en" w:eastAsia="nl-BE"/>
              </w:rPr>
              <w:t xml:space="preserve"> </w:t>
            </w:r>
            <w:r w:rsidR="003C1D1C">
              <w:rPr>
                <w:rFonts w:asciiTheme="minorHAnsi" w:hAnsiTheme="minorHAnsi" w:cs="Arial"/>
                <w:color w:val="212121"/>
                <w:sz w:val="18"/>
                <w:szCs w:val="18"/>
                <w:lang w:val="en" w:eastAsia="nl-BE"/>
              </w:rPr>
              <w:t xml:space="preserve"> </w:t>
            </w:r>
          </w:p>
        </w:tc>
      </w:tr>
    </w:tbl>
    <w:p w14:paraId="4947E835" w14:textId="77777777" w:rsidR="006A6E68" w:rsidRDefault="00313B80" w:rsidP="00353D94">
      <w:pPr>
        <w:pStyle w:val="Heading2"/>
        <w:numPr>
          <w:ilvl w:val="0"/>
          <w:numId w:val="17"/>
        </w:numPr>
      </w:pPr>
      <w:r>
        <w:lastRenderedPageBreak/>
        <w:t>Description of phase in activities</w:t>
      </w:r>
      <w:r w:rsidR="002B0F90">
        <w:t xml:space="preserve"> </w:t>
      </w:r>
    </w:p>
    <w:tbl>
      <w:tblPr>
        <w:tblStyle w:val="TableGrid"/>
        <w:tblW w:w="0" w:type="auto"/>
        <w:tblCellMar>
          <w:top w:w="57" w:type="dxa"/>
        </w:tblCellMar>
        <w:tblLook w:val="04A0" w:firstRow="1" w:lastRow="0" w:firstColumn="1" w:lastColumn="0" w:noHBand="0" w:noVBand="1"/>
      </w:tblPr>
      <w:tblGrid>
        <w:gridCol w:w="9062"/>
      </w:tblGrid>
      <w:tr w:rsidR="00D85CA0" w:rsidRPr="00D6197F" w14:paraId="41603BAA" w14:textId="77777777" w:rsidTr="004560CC">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66A41FAE" w14:textId="77777777" w:rsidR="00C40504" w:rsidRPr="00C40504" w:rsidRDefault="00313B80" w:rsidP="00C60F2F">
            <w:pPr>
              <w:spacing w:after="0"/>
              <w:rPr>
                <w:lang w:val="en-GB"/>
              </w:rPr>
            </w:pPr>
            <w:r>
              <w:rPr>
                <w:lang w:val="en-GB"/>
              </w:rPr>
              <w:t>Summary</w:t>
            </w:r>
          </w:p>
        </w:tc>
      </w:tr>
      <w:tr w:rsidR="00D85CA0" w:rsidRPr="00114B17" w14:paraId="76B32A81" w14:textId="77777777" w:rsidTr="004560CC">
        <w:tc>
          <w:tcPr>
            <w:tcW w:w="9062" w:type="dxa"/>
            <w:tcBorders>
              <w:top w:val="single" w:sz="4" w:space="0" w:color="9FA585"/>
              <w:left w:val="single" w:sz="4" w:space="0" w:color="9FA585"/>
              <w:bottom w:val="single" w:sz="4" w:space="0" w:color="9FA585"/>
              <w:right w:val="single" w:sz="4" w:space="0" w:color="9FA585"/>
            </w:tcBorders>
          </w:tcPr>
          <w:p w14:paraId="09918E49" w14:textId="4ABE4489" w:rsidR="00F96FDC" w:rsidRPr="00432818" w:rsidRDefault="00692C38" w:rsidP="00113673">
            <w:pPr>
              <w:spacing w:after="0" w:line="264" w:lineRule="auto"/>
              <w:rPr>
                <w:sz w:val="18"/>
                <w:lang w:val="en-US"/>
              </w:rPr>
            </w:pPr>
            <w:r w:rsidRPr="00432818">
              <w:rPr>
                <w:sz w:val="18"/>
                <w:lang w:val="en-GB"/>
              </w:rPr>
              <w:t>The local and Flemish programme coordinators in collaboration with the local project leaders prepared the document for the</w:t>
            </w:r>
            <w:r w:rsidR="0035392E" w:rsidRPr="00432818">
              <w:rPr>
                <w:sz w:val="18"/>
                <w:lang w:val="en-GB"/>
              </w:rPr>
              <w:t xml:space="preserve"> Pre-partner programme</w:t>
            </w:r>
            <w:r w:rsidRPr="00432818">
              <w:rPr>
                <w:sz w:val="18"/>
                <w:lang w:val="en-GB"/>
              </w:rPr>
              <w:t>,</w:t>
            </w:r>
            <w:r w:rsidR="0035392E" w:rsidRPr="00432818">
              <w:rPr>
                <w:sz w:val="18"/>
                <w:lang w:val="en-GB"/>
              </w:rPr>
              <w:t xml:space="preserve"> after the IUC proposal had been selected</w:t>
            </w:r>
            <w:r w:rsidRPr="00432818">
              <w:rPr>
                <w:sz w:val="18"/>
                <w:lang w:val="en-GB"/>
              </w:rPr>
              <w:t>, the matchmaking was approved,</w:t>
            </w:r>
            <w:r w:rsidR="0035392E" w:rsidRPr="00432818">
              <w:rPr>
                <w:sz w:val="18"/>
                <w:lang w:val="en-GB"/>
              </w:rPr>
              <w:t xml:space="preserve"> and the Flemish </w:t>
            </w:r>
            <w:r w:rsidR="00F96FDC" w:rsidRPr="00432818">
              <w:rPr>
                <w:sz w:val="18"/>
                <w:lang w:val="en-GB"/>
              </w:rPr>
              <w:t xml:space="preserve">programme coordinator and project leaders </w:t>
            </w:r>
            <w:r w:rsidRPr="00432818">
              <w:rPr>
                <w:sz w:val="18"/>
                <w:lang w:val="en-GB"/>
              </w:rPr>
              <w:t>were</w:t>
            </w:r>
            <w:r w:rsidR="00F96FDC" w:rsidRPr="00432818">
              <w:rPr>
                <w:sz w:val="18"/>
                <w:lang w:val="en-GB"/>
              </w:rPr>
              <w:t xml:space="preserve"> appointed</w:t>
            </w:r>
            <w:r w:rsidR="001260E5" w:rsidRPr="00432818">
              <w:rPr>
                <w:sz w:val="18"/>
                <w:lang w:val="en-GB"/>
              </w:rPr>
              <w:t xml:space="preserve"> (</w:t>
            </w:r>
            <w:r w:rsidR="00F96FDC" w:rsidRPr="00432818">
              <w:rPr>
                <w:sz w:val="18"/>
                <w:lang w:val="en-GB"/>
              </w:rPr>
              <w:t>26 February</w:t>
            </w:r>
            <w:r w:rsidR="001260E5" w:rsidRPr="00432818">
              <w:rPr>
                <w:sz w:val="18"/>
                <w:lang w:val="en-GB"/>
              </w:rPr>
              <w:t>,</w:t>
            </w:r>
            <w:r w:rsidR="00F96FDC" w:rsidRPr="00432818">
              <w:rPr>
                <w:sz w:val="18"/>
                <w:lang w:val="en-GB"/>
              </w:rPr>
              <w:t xml:space="preserve"> 2016</w:t>
            </w:r>
            <w:r w:rsidR="001260E5" w:rsidRPr="00432818">
              <w:rPr>
                <w:sz w:val="18"/>
                <w:lang w:val="en-GB"/>
              </w:rPr>
              <w:t>)</w:t>
            </w:r>
            <w:r w:rsidR="00F96FDC" w:rsidRPr="00432818">
              <w:rPr>
                <w:sz w:val="18"/>
                <w:lang w:val="en-GB"/>
              </w:rPr>
              <w:t xml:space="preserve">.  </w:t>
            </w:r>
            <w:r w:rsidR="00605A67" w:rsidRPr="00432818">
              <w:rPr>
                <w:sz w:val="18"/>
                <w:lang w:val="en-US"/>
              </w:rPr>
              <w:t xml:space="preserve">Besides jointly defining and submitting the full proposal of the IUC </w:t>
            </w:r>
            <w:proofErr w:type="spellStart"/>
            <w:r w:rsidR="00605A67" w:rsidRPr="00432818">
              <w:rPr>
                <w:sz w:val="18"/>
                <w:lang w:val="en-US"/>
              </w:rPr>
              <w:t>program</w:t>
            </w:r>
            <w:r w:rsidR="00D8283A" w:rsidRPr="00432818">
              <w:rPr>
                <w:sz w:val="18"/>
                <w:lang w:val="en-US"/>
              </w:rPr>
              <w:t>me</w:t>
            </w:r>
            <w:proofErr w:type="spellEnd"/>
            <w:r w:rsidR="00605A67" w:rsidRPr="00DF280A">
              <w:rPr>
                <w:sz w:val="18"/>
                <w:lang w:val="en-US"/>
              </w:rPr>
              <w:t xml:space="preserve"> based on several PCM workshops, t</w:t>
            </w:r>
            <w:r w:rsidR="0067582A" w:rsidRPr="00DF280A">
              <w:rPr>
                <w:sz w:val="18"/>
                <w:lang w:val="en-US"/>
              </w:rPr>
              <w:t xml:space="preserve">he Pre-partner </w:t>
            </w:r>
            <w:proofErr w:type="spellStart"/>
            <w:r w:rsidR="0067582A" w:rsidRPr="00DF280A">
              <w:rPr>
                <w:sz w:val="18"/>
                <w:lang w:val="en-US"/>
              </w:rPr>
              <w:t>program</w:t>
            </w:r>
            <w:r w:rsidR="00D8283A" w:rsidRPr="00DF280A">
              <w:rPr>
                <w:sz w:val="18"/>
                <w:lang w:val="en-US"/>
              </w:rPr>
              <w:t>me</w:t>
            </w:r>
            <w:proofErr w:type="spellEnd"/>
            <w:r w:rsidR="0067582A" w:rsidRPr="00DF280A">
              <w:rPr>
                <w:sz w:val="18"/>
                <w:lang w:val="en-US"/>
              </w:rPr>
              <w:t xml:space="preserve"> </w:t>
            </w:r>
            <w:r w:rsidR="001260E5" w:rsidRPr="00DF280A">
              <w:rPr>
                <w:sz w:val="18"/>
                <w:lang w:val="en-US"/>
              </w:rPr>
              <w:t xml:space="preserve">consists </w:t>
            </w:r>
            <w:r w:rsidR="0067582A" w:rsidRPr="00DF280A">
              <w:rPr>
                <w:sz w:val="18"/>
                <w:lang w:val="en-US"/>
              </w:rPr>
              <w:t>o</w:t>
            </w:r>
            <w:r w:rsidR="001260E5" w:rsidRPr="00DF280A">
              <w:rPr>
                <w:sz w:val="18"/>
                <w:lang w:val="en-US"/>
              </w:rPr>
              <w:t>f</w:t>
            </w:r>
            <w:r w:rsidR="0067582A" w:rsidRPr="00DF280A">
              <w:rPr>
                <w:sz w:val="18"/>
                <w:lang w:val="en-US"/>
              </w:rPr>
              <w:t xml:space="preserve"> </w:t>
            </w:r>
            <w:r w:rsidR="001260E5" w:rsidRPr="00DF280A">
              <w:rPr>
                <w:sz w:val="18"/>
                <w:lang w:val="en-US"/>
              </w:rPr>
              <w:t>three</w:t>
            </w:r>
            <w:r w:rsidR="0067582A" w:rsidRPr="00DF280A">
              <w:rPr>
                <w:sz w:val="18"/>
                <w:lang w:val="en-US"/>
              </w:rPr>
              <w:t xml:space="preserve"> </w:t>
            </w:r>
            <w:r w:rsidR="00605A67" w:rsidRPr="00DF280A">
              <w:rPr>
                <w:sz w:val="18"/>
                <w:lang w:val="en-US"/>
              </w:rPr>
              <w:t xml:space="preserve">other </w:t>
            </w:r>
            <w:r w:rsidR="0067582A" w:rsidRPr="00DF280A">
              <w:rPr>
                <w:sz w:val="18"/>
                <w:lang w:val="en-US"/>
              </w:rPr>
              <w:t xml:space="preserve">objectives: 1) the </w:t>
            </w:r>
            <w:r w:rsidR="0067582A" w:rsidRPr="00DF280A">
              <w:rPr>
                <w:b/>
                <w:sz w:val="18"/>
                <w:lang w:val="en-US"/>
              </w:rPr>
              <w:t xml:space="preserve">establishment of </w:t>
            </w:r>
            <w:r w:rsidR="00D8283A" w:rsidRPr="00DF280A">
              <w:rPr>
                <w:b/>
                <w:sz w:val="18"/>
                <w:lang w:val="en-US"/>
              </w:rPr>
              <w:t>Transdiscipli</w:t>
            </w:r>
            <w:r w:rsidR="00D8283A" w:rsidRPr="00432818">
              <w:rPr>
                <w:b/>
                <w:sz w:val="18"/>
                <w:lang w:val="en-US"/>
              </w:rPr>
              <w:t>nary Learning Comm</w:t>
            </w:r>
            <w:r w:rsidR="0066439A" w:rsidRPr="00432818">
              <w:rPr>
                <w:b/>
                <w:sz w:val="18"/>
                <w:lang w:val="en-US"/>
              </w:rPr>
              <w:t>un</w:t>
            </w:r>
            <w:r w:rsidR="00D8283A" w:rsidRPr="00432818">
              <w:rPr>
                <w:b/>
                <w:sz w:val="18"/>
                <w:lang w:val="en-US"/>
              </w:rPr>
              <w:t>i</w:t>
            </w:r>
            <w:r w:rsidR="0066439A" w:rsidRPr="00432818">
              <w:rPr>
                <w:b/>
                <w:sz w:val="18"/>
                <w:lang w:val="en-US"/>
              </w:rPr>
              <w:t>ty (TLC) teams of UCB academics</w:t>
            </w:r>
            <w:r w:rsidR="0067582A" w:rsidRPr="00432818">
              <w:rPr>
                <w:sz w:val="18"/>
                <w:lang w:val="en-US"/>
              </w:rPr>
              <w:t xml:space="preserve"> </w:t>
            </w:r>
            <w:r w:rsidR="0066439A" w:rsidRPr="00432818">
              <w:rPr>
                <w:sz w:val="18"/>
                <w:lang w:val="en-US"/>
              </w:rPr>
              <w:t>at</w:t>
            </w:r>
            <w:r w:rsidR="0067582A" w:rsidRPr="00432818">
              <w:rPr>
                <w:sz w:val="18"/>
                <w:lang w:val="en-US"/>
              </w:rPr>
              <w:t xml:space="preserve"> each of the regional </w:t>
            </w:r>
            <w:r w:rsidR="00605A67" w:rsidRPr="00432818">
              <w:rPr>
                <w:sz w:val="18"/>
                <w:lang w:val="en-US"/>
              </w:rPr>
              <w:t xml:space="preserve">UCB </w:t>
            </w:r>
            <w:r w:rsidR="0066439A" w:rsidRPr="00432818">
              <w:rPr>
                <w:sz w:val="18"/>
                <w:lang w:val="en-US"/>
              </w:rPr>
              <w:t>universities</w:t>
            </w:r>
            <w:r w:rsidR="0067582A" w:rsidRPr="00432818">
              <w:rPr>
                <w:sz w:val="18"/>
                <w:lang w:val="en-US"/>
              </w:rPr>
              <w:t xml:space="preserve">, 2) </w:t>
            </w:r>
            <w:r w:rsidR="00D8283A" w:rsidRPr="00432818">
              <w:rPr>
                <w:sz w:val="18"/>
                <w:lang w:val="en-US"/>
              </w:rPr>
              <w:t xml:space="preserve">the </w:t>
            </w:r>
            <w:r w:rsidR="00D8283A" w:rsidRPr="00432818">
              <w:rPr>
                <w:b/>
                <w:sz w:val="18"/>
                <w:lang w:val="en-US"/>
              </w:rPr>
              <w:t>implementation</w:t>
            </w:r>
            <w:r w:rsidR="00D8283A" w:rsidRPr="00432818">
              <w:rPr>
                <w:sz w:val="18"/>
                <w:lang w:val="en-US"/>
              </w:rPr>
              <w:t xml:space="preserve"> of a national </w:t>
            </w:r>
            <w:proofErr w:type="spellStart"/>
            <w:r w:rsidR="00D8283A" w:rsidRPr="00432818">
              <w:rPr>
                <w:sz w:val="18"/>
                <w:lang w:val="en-US"/>
              </w:rPr>
              <w:t>Programme</w:t>
            </w:r>
            <w:proofErr w:type="spellEnd"/>
            <w:r w:rsidR="00D8283A" w:rsidRPr="00432818">
              <w:rPr>
                <w:sz w:val="18"/>
                <w:lang w:val="en-US"/>
              </w:rPr>
              <w:t xml:space="preserve"> Support Unit (PSU) to ensure </w:t>
            </w:r>
            <w:r w:rsidR="0066439A" w:rsidRPr="00432818">
              <w:rPr>
                <w:sz w:val="18"/>
                <w:lang w:val="en-US"/>
              </w:rPr>
              <w:t xml:space="preserve">and to coordinate </w:t>
            </w:r>
            <w:r w:rsidR="00D8283A" w:rsidRPr="00432818">
              <w:rPr>
                <w:sz w:val="18"/>
                <w:lang w:val="en-US"/>
              </w:rPr>
              <w:t xml:space="preserve">administrative support for </w:t>
            </w:r>
            <w:r w:rsidR="0066439A" w:rsidRPr="00432818">
              <w:rPr>
                <w:sz w:val="18"/>
                <w:lang w:val="en-US"/>
              </w:rPr>
              <w:t>the regional TLC-teams at the 4 UCB universities, (3)</w:t>
            </w:r>
            <w:r w:rsidR="00D8283A" w:rsidRPr="00432818">
              <w:rPr>
                <w:sz w:val="18"/>
                <w:lang w:val="en-US"/>
              </w:rPr>
              <w:t xml:space="preserve"> </w:t>
            </w:r>
            <w:r w:rsidR="0067582A" w:rsidRPr="00432818">
              <w:rPr>
                <w:b/>
                <w:sz w:val="18"/>
                <w:lang w:val="en-US"/>
              </w:rPr>
              <w:t>the management of strategic alliances</w:t>
            </w:r>
            <w:r w:rsidR="0067582A" w:rsidRPr="00432818">
              <w:rPr>
                <w:sz w:val="18"/>
                <w:lang w:val="en-US"/>
              </w:rPr>
              <w:t xml:space="preserve"> (agreements) with partner</w:t>
            </w:r>
            <w:r w:rsidR="0066439A" w:rsidRPr="00432818">
              <w:rPr>
                <w:sz w:val="18"/>
                <w:lang w:val="en-US"/>
              </w:rPr>
              <w:t xml:space="preserve"> universities</w:t>
            </w:r>
            <w:r w:rsidR="0067582A" w:rsidRPr="00432818">
              <w:rPr>
                <w:sz w:val="18"/>
                <w:lang w:val="en-US"/>
              </w:rPr>
              <w:t xml:space="preserve"> and stakeholders </w:t>
            </w:r>
            <w:r w:rsidR="0066439A" w:rsidRPr="00432818">
              <w:rPr>
                <w:sz w:val="18"/>
                <w:lang w:val="en-US"/>
              </w:rPr>
              <w:t xml:space="preserve">at </w:t>
            </w:r>
            <w:r w:rsidR="0067582A" w:rsidRPr="00432818">
              <w:rPr>
                <w:sz w:val="18"/>
                <w:lang w:val="en-US"/>
              </w:rPr>
              <w:t xml:space="preserve">each </w:t>
            </w:r>
            <w:r w:rsidR="0066439A" w:rsidRPr="00432818">
              <w:rPr>
                <w:sz w:val="18"/>
                <w:lang w:val="en-US"/>
              </w:rPr>
              <w:t xml:space="preserve">regional </w:t>
            </w:r>
            <w:r w:rsidR="009D5ED7">
              <w:rPr>
                <w:sz w:val="18"/>
                <w:lang w:val="en-US"/>
              </w:rPr>
              <w:t xml:space="preserve">UCB </w:t>
            </w:r>
            <w:r w:rsidR="0066439A" w:rsidRPr="00432818">
              <w:rPr>
                <w:sz w:val="18"/>
                <w:lang w:val="en-US"/>
              </w:rPr>
              <w:t>university</w:t>
            </w:r>
            <w:r w:rsidR="00F96FDC" w:rsidRPr="00432818">
              <w:rPr>
                <w:sz w:val="18"/>
                <w:lang w:val="en-US"/>
              </w:rPr>
              <w:t>, with the aim to prepare the links between t</w:t>
            </w:r>
            <w:r w:rsidR="0067582A" w:rsidRPr="00432818">
              <w:rPr>
                <w:sz w:val="18"/>
                <w:lang w:val="en-US"/>
              </w:rPr>
              <w:t xml:space="preserve">he </w:t>
            </w:r>
            <w:r w:rsidR="00605A67" w:rsidRPr="00432818">
              <w:rPr>
                <w:sz w:val="18"/>
                <w:lang w:val="en-US"/>
              </w:rPr>
              <w:t>r</w:t>
            </w:r>
            <w:r w:rsidR="0067582A" w:rsidRPr="00432818">
              <w:rPr>
                <w:sz w:val="18"/>
                <w:lang w:val="en-US"/>
              </w:rPr>
              <w:t xml:space="preserve">egional </w:t>
            </w:r>
            <w:r w:rsidR="00605A67" w:rsidRPr="00432818">
              <w:rPr>
                <w:sz w:val="18"/>
                <w:lang w:val="en-US"/>
              </w:rPr>
              <w:t>TLC</w:t>
            </w:r>
            <w:r w:rsidR="0066439A" w:rsidRPr="00432818">
              <w:rPr>
                <w:sz w:val="18"/>
                <w:lang w:val="en-US"/>
              </w:rPr>
              <w:t>-teams</w:t>
            </w:r>
            <w:r w:rsidR="00605A67" w:rsidRPr="00432818">
              <w:rPr>
                <w:sz w:val="18"/>
                <w:lang w:val="en-US"/>
              </w:rPr>
              <w:t xml:space="preserve"> </w:t>
            </w:r>
            <w:r w:rsidR="00F96FDC" w:rsidRPr="00432818">
              <w:rPr>
                <w:sz w:val="18"/>
                <w:lang w:val="en-US"/>
              </w:rPr>
              <w:t xml:space="preserve">and </w:t>
            </w:r>
            <w:r w:rsidR="0067582A" w:rsidRPr="00432818">
              <w:rPr>
                <w:sz w:val="18"/>
                <w:lang w:val="en-US"/>
              </w:rPr>
              <w:t xml:space="preserve">the local developmental interests. </w:t>
            </w:r>
          </w:p>
          <w:p w14:paraId="7883E348" w14:textId="2ABFA6F4" w:rsidR="000D62B2" w:rsidRPr="00113673" w:rsidRDefault="00932F9A" w:rsidP="00CE3A66">
            <w:pPr>
              <w:keepNext/>
              <w:keepLines/>
              <w:spacing w:after="0" w:line="264" w:lineRule="auto"/>
              <w:outlineLvl w:val="7"/>
              <w:rPr>
                <w:sz w:val="18"/>
                <w:lang w:val="en-GB"/>
              </w:rPr>
            </w:pPr>
            <w:r w:rsidRPr="00432818">
              <w:rPr>
                <w:sz w:val="18"/>
                <w:lang w:val="en-US"/>
              </w:rPr>
              <w:t>In th</w:t>
            </w:r>
            <w:r w:rsidR="009D5ED7">
              <w:rPr>
                <w:sz w:val="18"/>
                <w:lang w:val="en-US"/>
              </w:rPr>
              <w:t xml:space="preserve">e previous </w:t>
            </w:r>
            <w:r w:rsidRPr="00432818">
              <w:rPr>
                <w:sz w:val="18"/>
                <w:lang w:val="en-US"/>
              </w:rPr>
              <w:t>report</w:t>
            </w:r>
            <w:r w:rsidR="009D5ED7">
              <w:rPr>
                <w:sz w:val="18"/>
                <w:lang w:val="en-US"/>
              </w:rPr>
              <w:t xml:space="preserve"> (AP 2015)</w:t>
            </w:r>
            <w:r w:rsidRPr="00432818">
              <w:rPr>
                <w:sz w:val="18"/>
                <w:lang w:val="en-US"/>
              </w:rPr>
              <w:t>, we focus</w:t>
            </w:r>
            <w:r w:rsidR="0062514C">
              <w:rPr>
                <w:sz w:val="18"/>
                <w:lang w:val="en-US"/>
              </w:rPr>
              <w:t>ed</w:t>
            </w:r>
            <w:r w:rsidRPr="00432818">
              <w:rPr>
                <w:sz w:val="18"/>
                <w:lang w:val="en-US"/>
              </w:rPr>
              <w:t xml:space="preserve"> on the preparation and organization of the </w:t>
            </w:r>
            <w:proofErr w:type="spellStart"/>
            <w:r w:rsidRPr="00432818">
              <w:rPr>
                <w:sz w:val="18"/>
                <w:lang w:val="en-US"/>
              </w:rPr>
              <w:t>programme</w:t>
            </w:r>
            <w:proofErr w:type="spellEnd"/>
            <w:r w:rsidRPr="00432818">
              <w:rPr>
                <w:sz w:val="18"/>
                <w:lang w:val="en-US"/>
              </w:rPr>
              <w:t xml:space="preserve"> formulation, including the mission of the Flemish academic partners to participate at the joint PCM workshops (</w:t>
            </w:r>
            <w:r w:rsidR="00F07086" w:rsidRPr="00432818">
              <w:rPr>
                <w:sz w:val="18"/>
                <w:lang w:val="en-US"/>
              </w:rPr>
              <w:t>4-8 April 2016)</w:t>
            </w:r>
            <w:r w:rsidRPr="00432818">
              <w:rPr>
                <w:sz w:val="18"/>
                <w:lang w:val="en-US"/>
              </w:rPr>
              <w:t>.</w:t>
            </w:r>
            <w:r>
              <w:rPr>
                <w:sz w:val="18"/>
                <w:lang w:val="en-US"/>
              </w:rPr>
              <w:t xml:space="preserve">  </w:t>
            </w:r>
            <w:r w:rsidR="0064295A">
              <w:rPr>
                <w:sz w:val="18"/>
                <w:lang w:val="en-US"/>
              </w:rPr>
              <w:t xml:space="preserve">In the current report, we discuss the activities related to the writing and submission of the </w:t>
            </w:r>
            <w:proofErr w:type="spellStart"/>
            <w:r w:rsidR="0064295A">
              <w:rPr>
                <w:sz w:val="18"/>
                <w:lang w:val="en-US"/>
              </w:rPr>
              <w:t>programme</w:t>
            </w:r>
            <w:proofErr w:type="spellEnd"/>
            <w:r w:rsidR="0064295A">
              <w:rPr>
                <w:sz w:val="18"/>
                <w:lang w:val="en-US"/>
              </w:rPr>
              <w:t xml:space="preserve"> and its projects; </w:t>
            </w:r>
            <w:r w:rsidR="0053420B">
              <w:rPr>
                <w:sz w:val="18"/>
                <w:lang w:val="en-US"/>
              </w:rPr>
              <w:t xml:space="preserve">the implementation of the PSU on national and regional levels; </w:t>
            </w:r>
            <w:r w:rsidR="0064295A">
              <w:rPr>
                <w:sz w:val="18"/>
                <w:lang w:val="en-US"/>
              </w:rPr>
              <w:t>the establishment of the regional TLC teams; and the management of strategic alliances</w:t>
            </w:r>
            <w:r w:rsidR="00CE3A66">
              <w:rPr>
                <w:sz w:val="18"/>
                <w:lang w:val="en-US"/>
              </w:rPr>
              <w:t xml:space="preserve"> on the national and regional levels</w:t>
            </w:r>
            <w:r w:rsidR="0064295A">
              <w:rPr>
                <w:sz w:val="18"/>
                <w:lang w:val="en-US"/>
              </w:rPr>
              <w:t xml:space="preserve">. </w:t>
            </w:r>
          </w:p>
        </w:tc>
      </w:tr>
    </w:tbl>
    <w:p w14:paraId="0BE99B98" w14:textId="77777777" w:rsidR="001E54B6" w:rsidRDefault="001E54B6" w:rsidP="00CD0BCD">
      <w:pPr>
        <w:rPr>
          <w:lang w:val="en-GB"/>
        </w:rPr>
      </w:pPr>
    </w:p>
    <w:p w14:paraId="1C02D995" w14:textId="77777777" w:rsidR="001E54B6" w:rsidRDefault="001E54B6" w:rsidP="00CD0BCD">
      <w:pPr>
        <w:rPr>
          <w:lang w:val="en-GB"/>
        </w:rPr>
      </w:pPr>
    </w:p>
    <w:tbl>
      <w:tblPr>
        <w:tblStyle w:val="TableGrid"/>
        <w:tblW w:w="0" w:type="auto"/>
        <w:tblLayout w:type="fixed"/>
        <w:tblCellMar>
          <w:top w:w="57" w:type="dxa"/>
        </w:tblCellMar>
        <w:tblLook w:val="04A0" w:firstRow="1" w:lastRow="0" w:firstColumn="1" w:lastColumn="0" w:noHBand="0" w:noVBand="1"/>
      </w:tblPr>
      <w:tblGrid>
        <w:gridCol w:w="9212"/>
      </w:tblGrid>
      <w:tr w:rsidR="00F87B18" w:rsidRPr="00114B17" w14:paraId="50358834" w14:textId="77777777" w:rsidTr="009601A5">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0D996147" w14:textId="77777777" w:rsidR="00F87B18" w:rsidRPr="00B05215" w:rsidRDefault="00313B80" w:rsidP="00AB25A4">
            <w:pPr>
              <w:spacing w:after="0"/>
              <w:rPr>
                <w:lang w:val="en-GB"/>
              </w:rPr>
            </w:pPr>
            <w:r w:rsidRPr="00313B80">
              <w:rPr>
                <w:lang w:val="en-GB"/>
              </w:rPr>
              <w:t>Overview of adjustments and changes made to the programme in the course of its implementation.</w:t>
            </w:r>
          </w:p>
        </w:tc>
      </w:tr>
      <w:tr w:rsidR="00F87B18" w:rsidRPr="00114B17" w14:paraId="4415EF06" w14:textId="77777777" w:rsidTr="009601A5">
        <w:tc>
          <w:tcPr>
            <w:tcW w:w="9212" w:type="dxa"/>
            <w:tcBorders>
              <w:top w:val="single" w:sz="4" w:space="0" w:color="9FA585"/>
              <w:left w:val="single" w:sz="4" w:space="0" w:color="9FA585"/>
              <w:bottom w:val="single" w:sz="4" w:space="0" w:color="9FA585"/>
              <w:right w:val="single" w:sz="4" w:space="0" w:color="9FA585"/>
            </w:tcBorders>
          </w:tcPr>
          <w:p w14:paraId="7733575E" w14:textId="4F95644B" w:rsidR="008314E9" w:rsidRPr="001E54B6" w:rsidRDefault="008314E9" w:rsidP="008314E9">
            <w:pPr>
              <w:pStyle w:val="HTMLPreformatted"/>
              <w:shd w:val="clear" w:color="auto" w:fill="FFFFFF"/>
              <w:spacing w:line="264" w:lineRule="auto"/>
              <w:rPr>
                <w:rFonts w:ascii="inherit" w:hAnsi="inherit"/>
                <w:color w:val="212121"/>
                <w:lang w:val="en-GB"/>
              </w:rPr>
            </w:pPr>
            <w:r>
              <w:rPr>
                <w:rFonts w:asciiTheme="majorHAnsi" w:hAnsiTheme="majorHAnsi" w:cstheme="majorHAnsi"/>
                <w:color w:val="212121"/>
                <w:sz w:val="18"/>
                <w:lang w:val="en"/>
              </w:rPr>
              <w:t xml:space="preserve">The activities realized to obtain the objectives of the Pre-Partner Programme AP 2016 didn’t led to </w:t>
            </w:r>
            <w:r w:rsidR="00E20680">
              <w:rPr>
                <w:rFonts w:asciiTheme="majorHAnsi" w:hAnsiTheme="majorHAnsi" w:cstheme="majorHAnsi"/>
                <w:color w:val="212121"/>
                <w:sz w:val="18"/>
                <w:lang w:val="en"/>
              </w:rPr>
              <w:t xml:space="preserve">significant </w:t>
            </w:r>
            <w:r>
              <w:rPr>
                <w:rFonts w:asciiTheme="majorHAnsi" w:hAnsiTheme="majorHAnsi" w:cstheme="majorHAnsi"/>
                <w:color w:val="212121"/>
                <w:sz w:val="18"/>
                <w:lang w:val="en"/>
              </w:rPr>
              <w:t xml:space="preserve">changes in the programme, but rather to some adaptations that correspond </w:t>
            </w:r>
            <w:r w:rsidR="00E20680">
              <w:rPr>
                <w:rFonts w:asciiTheme="majorHAnsi" w:hAnsiTheme="majorHAnsi" w:cstheme="majorHAnsi"/>
                <w:color w:val="212121"/>
                <w:sz w:val="18"/>
                <w:lang w:val="en"/>
              </w:rPr>
              <w:t>to</w:t>
            </w:r>
            <w:r>
              <w:rPr>
                <w:rFonts w:asciiTheme="majorHAnsi" w:hAnsiTheme="majorHAnsi" w:cstheme="majorHAnsi"/>
                <w:color w:val="212121"/>
                <w:sz w:val="18"/>
                <w:lang w:val="en"/>
              </w:rPr>
              <w:t xml:space="preserve"> the reflections and learned lessons (see part 4 below).</w:t>
            </w:r>
          </w:p>
          <w:p w14:paraId="6177932A" w14:textId="0A22FE17" w:rsidR="008314E9" w:rsidRPr="003637A5" w:rsidRDefault="00E20680" w:rsidP="008314E9">
            <w:pPr>
              <w:pStyle w:val="HTMLPreformatted"/>
              <w:numPr>
                <w:ilvl w:val="0"/>
                <w:numId w:val="42"/>
              </w:numPr>
              <w:shd w:val="clear" w:color="auto" w:fill="FFFFFF"/>
              <w:spacing w:line="264" w:lineRule="auto"/>
              <w:ind w:left="0" w:hanging="284"/>
              <w:jc w:val="both"/>
              <w:rPr>
                <w:rFonts w:asciiTheme="majorHAnsi" w:hAnsiTheme="majorHAnsi" w:cstheme="majorHAnsi"/>
                <w:color w:val="212121"/>
                <w:sz w:val="18"/>
                <w:lang w:val="en-US"/>
              </w:rPr>
            </w:pPr>
            <w:r>
              <w:rPr>
                <w:rFonts w:asciiTheme="majorHAnsi" w:hAnsiTheme="majorHAnsi" w:cstheme="majorHAnsi"/>
                <w:color w:val="212121"/>
                <w:sz w:val="18"/>
                <w:lang w:val="en-US"/>
              </w:rPr>
              <w:t>In general, a</w:t>
            </w:r>
            <w:r w:rsidR="008314E9" w:rsidRPr="003637A5">
              <w:rPr>
                <w:rFonts w:asciiTheme="majorHAnsi" w:hAnsiTheme="majorHAnsi" w:cstheme="majorHAnsi"/>
                <w:color w:val="212121"/>
                <w:sz w:val="18"/>
                <w:lang w:val="en-US"/>
              </w:rPr>
              <w:t>ll planned activities for the AP</w:t>
            </w:r>
            <w:r w:rsidR="00221A7B">
              <w:rPr>
                <w:rFonts w:asciiTheme="majorHAnsi" w:hAnsiTheme="majorHAnsi" w:cstheme="majorHAnsi"/>
                <w:color w:val="212121"/>
                <w:sz w:val="18"/>
                <w:lang w:val="en-US"/>
              </w:rPr>
              <w:t xml:space="preserve"> </w:t>
            </w:r>
            <w:r w:rsidR="008314E9">
              <w:rPr>
                <w:rFonts w:asciiTheme="majorHAnsi" w:hAnsiTheme="majorHAnsi" w:cstheme="majorHAnsi"/>
                <w:color w:val="212121"/>
                <w:sz w:val="18"/>
                <w:lang w:val="en-US"/>
              </w:rPr>
              <w:t>2</w:t>
            </w:r>
            <w:r w:rsidR="00221A7B">
              <w:rPr>
                <w:rFonts w:asciiTheme="majorHAnsi" w:hAnsiTheme="majorHAnsi" w:cstheme="majorHAnsi"/>
                <w:color w:val="212121"/>
                <w:sz w:val="18"/>
                <w:lang w:val="en-US"/>
              </w:rPr>
              <w:t>016</w:t>
            </w:r>
            <w:r w:rsidR="008314E9" w:rsidRPr="003637A5">
              <w:rPr>
                <w:rFonts w:asciiTheme="majorHAnsi" w:hAnsiTheme="majorHAnsi" w:cstheme="majorHAnsi"/>
                <w:color w:val="212121"/>
                <w:sz w:val="18"/>
                <w:lang w:val="en-US"/>
              </w:rPr>
              <w:t xml:space="preserve"> were successfully completed</w:t>
            </w:r>
            <w:r w:rsidR="00221A7B">
              <w:rPr>
                <w:rFonts w:asciiTheme="majorHAnsi" w:hAnsiTheme="majorHAnsi" w:cstheme="majorHAnsi"/>
                <w:color w:val="212121"/>
                <w:sz w:val="18"/>
                <w:lang w:val="en-US"/>
              </w:rPr>
              <w:t>: (1) T</w:t>
            </w:r>
            <w:r>
              <w:rPr>
                <w:rFonts w:asciiTheme="majorHAnsi" w:hAnsiTheme="majorHAnsi" w:cstheme="majorHAnsi"/>
                <w:color w:val="212121"/>
                <w:sz w:val="18"/>
                <w:lang w:val="en-US"/>
              </w:rPr>
              <w:t xml:space="preserve">he IUC </w:t>
            </w:r>
            <w:proofErr w:type="spellStart"/>
            <w:r>
              <w:rPr>
                <w:rFonts w:asciiTheme="majorHAnsi" w:hAnsiTheme="majorHAnsi" w:cstheme="majorHAnsi"/>
                <w:color w:val="212121"/>
                <w:sz w:val="18"/>
                <w:lang w:val="en-US"/>
              </w:rPr>
              <w:t>programme</w:t>
            </w:r>
            <w:proofErr w:type="spellEnd"/>
            <w:r>
              <w:rPr>
                <w:rFonts w:asciiTheme="majorHAnsi" w:hAnsiTheme="majorHAnsi" w:cstheme="majorHAnsi"/>
                <w:color w:val="212121"/>
                <w:sz w:val="18"/>
                <w:lang w:val="en-US"/>
              </w:rPr>
              <w:t xml:space="preserve"> </w:t>
            </w:r>
            <w:r w:rsidR="00221A7B">
              <w:rPr>
                <w:rFonts w:asciiTheme="majorHAnsi" w:hAnsiTheme="majorHAnsi" w:cstheme="majorHAnsi"/>
                <w:color w:val="212121"/>
                <w:sz w:val="18"/>
                <w:lang w:val="en-US"/>
              </w:rPr>
              <w:t>and its 6 projects were</w:t>
            </w:r>
            <w:r>
              <w:rPr>
                <w:rFonts w:asciiTheme="majorHAnsi" w:hAnsiTheme="majorHAnsi" w:cstheme="majorHAnsi"/>
                <w:color w:val="212121"/>
                <w:sz w:val="18"/>
                <w:lang w:val="en-US"/>
              </w:rPr>
              <w:t xml:space="preserve"> </w:t>
            </w:r>
            <w:r w:rsidR="00221A7B">
              <w:rPr>
                <w:rFonts w:asciiTheme="majorHAnsi" w:hAnsiTheme="majorHAnsi" w:cstheme="majorHAnsi"/>
                <w:color w:val="212121"/>
                <w:sz w:val="18"/>
                <w:lang w:val="en-US"/>
              </w:rPr>
              <w:t xml:space="preserve">finally </w:t>
            </w:r>
            <w:r>
              <w:rPr>
                <w:rFonts w:asciiTheme="majorHAnsi" w:hAnsiTheme="majorHAnsi" w:cstheme="majorHAnsi"/>
                <w:color w:val="212121"/>
                <w:sz w:val="18"/>
                <w:lang w:val="en-US"/>
              </w:rPr>
              <w:t xml:space="preserve">approved </w:t>
            </w:r>
            <w:r w:rsidR="00221A7B">
              <w:rPr>
                <w:rFonts w:asciiTheme="majorHAnsi" w:hAnsiTheme="majorHAnsi" w:cstheme="majorHAnsi"/>
                <w:color w:val="212121"/>
                <w:sz w:val="18"/>
                <w:lang w:val="en-US"/>
              </w:rPr>
              <w:t>in December</w:t>
            </w:r>
            <w:r>
              <w:rPr>
                <w:rFonts w:asciiTheme="majorHAnsi" w:hAnsiTheme="majorHAnsi" w:cstheme="majorHAnsi"/>
                <w:color w:val="212121"/>
                <w:sz w:val="18"/>
                <w:lang w:val="en-US"/>
              </w:rPr>
              <w:t xml:space="preserve"> </w:t>
            </w:r>
            <w:r w:rsidR="00221A7B">
              <w:rPr>
                <w:rFonts w:asciiTheme="majorHAnsi" w:hAnsiTheme="majorHAnsi" w:cstheme="majorHAnsi"/>
                <w:color w:val="212121"/>
                <w:sz w:val="18"/>
                <w:lang w:val="en-US"/>
              </w:rPr>
              <w:t>2016; (2) T</w:t>
            </w:r>
            <w:r w:rsidR="008314E9">
              <w:rPr>
                <w:rFonts w:asciiTheme="majorHAnsi" w:hAnsiTheme="majorHAnsi" w:cstheme="majorHAnsi"/>
                <w:color w:val="212121"/>
                <w:sz w:val="18"/>
                <w:lang w:val="en-US"/>
              </w:rPr>
              <w:t>he n</w:t>
            </w:r>
            <w:r w:rsidR="008314E9" w:rsidRPr="003637A5">
              <w:rPr>
                <w:rFonts w:asciiTheme="majorHAnsi" w:hAnsiTheme="majorHAnsi" w:cstheme="majorHAnsi"/>
                <w:color w:val="212121"/>
                <w:sz w:val="18"/>
                <w:lang w:val="en-US"/>
              </w:rPr>
              <w:t xml:space="preserve">ational </w:t>
            </w:r>
            <w:r w:rsidR="008314E9">
              <w:rPr>
                <w:rFonts w:asciiTheme="majorHAnsi" w:hAnsiTheme="majorHAnsi" w:cstheme="majorHAnsi"/>
                <w:color w:val="212121"/>
                <w:sz w:val="18"/>
                <w:lang w:val="en-US"/>
              </w:rPr>
              <w:t xml:space="preserve">PSU and the regional TLC teams </w:t>
            </w:r>
            <w:r w:rsidR="00221A7B">
              <w:rPr>
                <w:rFonts w:asciiTheme="majorHAnsi" w:hAnsiTheme="majorHAnsi" w:cstheme="majorHAnsi"/>
                <w:color w:val="212121"/>
                <w:sz w:val="18"/>
                <w:lang w:val="en-US"/>
              </w:rPr>
              <w:t>have been</w:t>
            </w:r>
            <w:r w:rsidR="008314E9">
              <w:rPr>
                <w:rFonts w:asciiTheme="majorHAnsi" w:hAnsiTheme="majorHAnsi" w:cstheme="majorHAnsi"/>
                <w:color w:val="212121"/>
                <w:sz w:val="18"/>
                <w:lang w:val="en-US"/>
              </w:rPr>
              <w:t xml:space="preserve"> installed</w:t>
            </w:r>
            <w:r w:rsidR="00221A7B">
              <w:rPr>
                <w:rFonts w:asciiTheme="majorHAnsi" w:hAnsiTheme="majorHAnsi" w:cstheme="majorHAnsi"/>
                <w:color w:val="212121"/>
                <w:sz w:val="18"/>
                <w:lang w:val="en-US"/>
              </w:rPr>
              <w:t xml:space="preserve"> and are operational</w:t>
            </w:r>
            <w:r w:rsidR="008314E9">
              <w:rPr>
                <w:rFonts w:asciiTheme="majorHAnsi" w:hAnsiTheme="majorHAnsi" w:cstheme="majorHAnsi"/>
                <w:color w:val="212121"/>
                <w:sz w:val="18"/>
                <w:lang w:val="en-US"/>
              </w:rPr>
              <w:t xml:space="preserve">; </w:t>
            </w:r>
            <w:r w:rsidR="00221A7B">
              <w:rPr>
                <w:rFonts w:asciiTheme="majorHAnsi" w:hAnsiTheme="majorHAnsi" w:cstheme="majorHAnsi"/>
                <w:color w:val="212121"/>
                <w:sz w:val="18"/>
                <w:lang w:val="en-US"/>
              </w:rPr>
              <w:t xml:space="preserve">(3) </w:t>
            </w:r>
            <w:r w:rsidR="008314E9">
              <w:rPr>
                <w:rFonts w:asciiTheme="majorHAnsi" w:hAnsiTheme="majorHAnsi" w:cstheme="majorHAnsi"/>
                <w:color w:val="212121"/>
                <w:sz w:val="18"/>
                <w:lang w:val="en-US"/>
              </w:rPr>
              <w:t>S</w:t>
            </w:r>
            <w:r w:rsidR="008314E9" w:rsidRPr="003637A5">
              <w:rPr>
                <w:rFonts w:asciiTheme="majorHAnsi" w:hAnsiTheme="majorHAnsi" w:cstheme="majorHAnsi"/>
                <w:color w:val="212121"/>
                <w:sz w:val="18"/>
                <w:lang w:val="en-US"/>
              </w:rPr>
              <w:t xml:space="preserve">everal </w:t>
            </w:r>
            <w:r w:rsidR="000B6A4A">
              <w:rPr>
                <w:rFonts w:asciiTheme="majorHAnsi" w:hAnsiTheme="majorHAnsi" w:cstheme="majorHAnsi"/>
                <w:color w:val="212121"/>
                <w:sz w:val="18"/>
                <w:lang w:val="en-US"/>
              </w:rPr>
              <w:t xml:space="preserve">international, national and regional </w:t>
            </w:r>
            <w:r w:rsidR="008314E9" w:rsidRPr="003637A5">
              <w:rPr>
                <w:rFonts w:asciiTheme="majorHAnsi" w:hAnsiTheme="majorHAnsi" w:cstheme="majorHAnsi"/>
                <w:color w:val="212121"/>
                <w:sz w:val="18"/>
                <w:lang w:val="en-US"/>
              </w:rPr>
              <w:t xml:space="preserve">stakeholders participated in the elaboration of the proposal, the </w:t>
            </w:r>
            <w:r w:rsidR="000B6A4A">
              <w:rPr>
                <w:rFonts w:asciiTheme="majorHAnsi" w:hAnsiTheme="majorHAnsi" w:cstheme="majorHAnsi"/>
                <w:color w:val="212121"/>
                <w:sz w:val="18"/>
                <w:lang w:val="en-US"/>
              </w:rPr>
              <w:t xml:space="preserve">development of the regional TLC networks, and the procedure to define and select vulnerable local regions to develop TLC networks in each of the 4 UCB regions. </w:t>
            </w:r>
          </w:p>
          <w:p w14:paraId="5EE2F676" w14:textId="4C777082" w:rsidR="00F87B18" w:rsidRPr="00B774A4" w:rsidRDefault="0079220B" w:rsidP="0062514C">
            <w:pPr>
              <w:pStyle w:val="HTMLPreformatted"/>
              <w:keepNext/>
              <w:keepLines/>
              <w:numPr>
                <w:ilvl w:val="0"/>
                <w:numId w:val="42"/>
              </w:numPr>
              <w:shd w:val="clear" w:color="auto" w:fill="FFFFFF"/>
              <w:spacing w:line="264" w:lineRule="auto"/>
              <w:ind w:left="0" w:hanging="284"/>
              <w:outlineLvl w:val="7"/>
              <w:rPr>
                <w:rFonts w:ascii="inherit" w:hAnsi="inherit"/>
                <w:i/>
                <w:iCs/>
                <w:color w:val="212121"/>
                <w:lang w:val="en-US"/>
              </w:rPr>
            </w:pPr>
            <w:r w:rsidRPr="003170A8">
              <w:rPr>
                <w:rFonts w:asciiTheme="majorHAnsi" w:hAnsiTheme="majorHAnsi" w:cstheme="majorHAnsi"/>
                <w:color w:val="212121"/>
                <w:sz w:val="18"/>
                <w:lang w:val="en-US"/>
              </w:rPr>
              <w:t>By realizing the aforementioned activities, we became aware of an organizational tension between the trans</w:t>
            </w:r>
            <w:r w:rsidR="00DC2C4D" w:rsidRPr="003170A8">
              <w:rPr>
                <w:rFonts w:asciiTheme="majorHAnsi" w:hAnsiTheme="majorHAnsi" w:cstheme="majorHAnsi"/>
                <w:color w:val="212121"/>
                <w:sz w:val="18"/>
                <w:lang w:val="en-US"/>
              </w:rPr>
              <w:t>-</w:t>
            </w:r>
            <w:r w:rsidRPr="003170A8">
              <w:rPr>
                <w:rFonts w:asciiTheme="majorHAnsi" w:hAnsiTheme="majorHAnsi" w:cstheme="majorHAnsi"/>
                <w:color w:val="212121"/>
                <w:sz w:val="18"/>
                <w:lang w:val="en-US"/>
              </w:rPr>
              <w:t xml:space="preserve">disciplinary and collaborative TLC approach on the one hand, and </w:t>
            </w:r>
            <w:r w:rsidR="00DC2C4D" w:rsidRPr="003170A8">
              <w:rPr>
                <w:rFonts w:asciiTheme="majorHAnsi" w:hAnsiTheme="majorHAnsi" w:cstheme="majorHAnsi"/>
                <w:color w:val="212121"/>
                <w:sz w:val="18"/>
                <w:lang w:val="en-US"/>
              </w:rPr>
              <w:t xml:space="preserve">the aspirations of </w:t>
            </w:r>
            <w:r w:rsidR="0062514C">
              <w:rPr>
                <w:rFonts w:asciiTheme="majorHAnsi" w:hAnsiTheme="majorHAnsi" w:cstheme="majorHAnsi"/>
                <w:color w:val="212121"/>
                <w:sz w:val="18"/>
                <w:lang w:val="en-US"/>
              </w:rPr>
              <w:t>autonomously</w:t>
            </w:r>
            <w:r w:rsidR="00DC2C4D" w:rsidRPr="003170A8">
              <w:rPr>
                <w:rFonts w:asciiTheme="majorHAnsi" w:hAnsiTheme="majorHAnsi" w:cstheme="majorHAnsi"/>
                <w:color w:val="212121"/>
                <w:sz w:val="18"/>
                <w:lang w:val="en-US"/>
              </w:rPr>
              <w:t xml:space="preserve"> conducting and realizing own theme project research on the other hand. </w:t>
            </w:r>
            <w:r w:rsidR="008505A5" w:rsidRPr="003170A8">
              <w:rPr>
                <w:rFonts w:asciiTheme="majorHAnsi" w:hAnsiTheme="majorHAnsi" w:cstheme="majorHAnsi"/>
                <w:color w:val="212121"/>
                <w:sz w:val="18"/>
                <w:lang w:val="en-US"/>
              </w:rPr>
              <w:t xml:space="preserve">This tension pointed to the requirement to invest much more than foreseen in training activities on transdisciplinary and collaborative learning community approaches for IUC national and regional project leaders and members. </w:t>
            </w:r>
            <w:r w:rsidR="00DB4C6E" w:rsidRPr="003170A8">
              <w:rPr>
                <w:rFonts w:asciiTheme="majorHAnsi" w:hAnsiTheme="majorHAnsi" w:cstheme="majorHAnsi"/>
                <w:color w:val="212121"/>
                <w:sz w:val="18"/>
                <w:lang w:val="en-US"/>
              </w:rPr>
              <w:t xml:space="preserve">It also resulted in re-designing the organizational structure of the IUC </w:t>
            </w:r>
            <w:proofErr w:type="spellStart"/>
            <w:r w:rsidR="00DB4C6E" w:rsidRPr="003170A8">
              <w:rPr>
                <w:rFonts w:asciiTheme="majorHAnsi" w:hAnsiTheme="majorHAnsi" w:cstheme="majorHAnsi"/>
                <w:color w:val="212121"/>
                <w:sz w:val="18"/>
                <w:lang w:val="en-US"/>
              </w:rPr>
              <w:t>programme</w:t>
            </w:r>
            <w:proofErr w:type="spellEnd"/>
            <w:r w:rsidR="00DB4C6E" w:rsidRPr="003170A8">
              <w:rPr>
                <w:rFonts w:asciiTheme="majorHAnsi" w:hAnsiTheme="majorHAnsi" w:cstheme="majorHAnsi"/>
                <w:color w:val="212121"/>
                <w:sz w:val="18"/>
                <w:lang w:val="en-US"/>
              </w:rPr>
              <w:t xml:space="preserve">, much more emphasizing the key roles of the regional TLC teams and the regional TLC coordinators in the management of the </w:t>
            </w:r>
            <w:proofErr w:type="spellStart"/>
            <w:r w:rsidR="00DB4C6E" w:rsidRPr="003170A8">
              <w:rPr>
                <w:rFonts w:asciiTheme="majorHAnsi" w:hAnsiTheme="majorHAnsi" w:cstheme="majorHAnsi"/>
                <w:color w:val="212121"/>
                <w:sz w:val="18"/>
                <w:lang w:val="en-US"/>
              </w:rPr>
              <w:t>programme</w:t>
            </w:r>
            <w:proofErr w:type="spellEnd"/>
            <w:r w:rsidR="00DB4C6E" w:rsidRPr="003170A8">
              <w:rPr>
                <w:rFonts w:asciiTheme="majorHAnsi" w:hAnsiTheme="majorHAnsi" w:cstheme="majorHAnsi"/>
                <w:color w:val="212121"/>
                <w:sz w:val="18"/>
                <w:lang w:val="en-US"/>
              </w:rPr>
              <w:t xml:space="preserve">. </w:t>
            </w:r>
            <w:r w:rsidR="004529AB" w:rsidRPr="003170A8">
              <w:rPr>
                <w:rFonts w:asciiTheme="majorHAnsi" w:hAnsiTheme="majorHAnsi" w:cstheme="majorHAnsi"/>
                <w:color w:val="212121"/>
                <w:sz w:val="18"/>
                <w:lang w:val="en-US"/>
              </w:rPr>
              <w:t xml:space="preserve">Emphasizing the key role of the TLC teams at the regional UCB universities in realizing the objectives of the IUC </w:t>
            </w:r>
            <w:proofErr w:type="spellStart"/>
            <w:r w:rsidR="004529AB" w:rsidRPr="003170A8">
              <w:rPr>
                <w:rFonts w:asciiTheme="majorHAnsi" w:hAnsiTheme="majorHAnsi" w:cstheme="majorHAnsi"/>
                <w:color w:val="212121"/>
                <w:sz w:val="18"/>
                <w:lang w:val="en-US"/>
              </w:rPr>
              <w:t>programme</w:t>
            </w:r>
            <w:proofErr w:type="spellEnd"/>
            <w:r w:rsidR="004529AB" w:rsidRPr="003170A8">
              <w:rPr>
                <w:rFonts w:asciiTheme="majorHAnsi" w:hAnsiTheme="majorHAnsi" w:cstheme="majorHAnsi"/>
                <w:color w:val="212121"/>
                <w:sz w:val="18"/>
                <w:lang w:val="en-US"/>
              </w:rPr>
              <w:t xml:space="preserve">, also requires a re-organization of the national UCB management structure. </w:t>
            </w:r>
            <w:r w:rsidR="003170A8" w:rsidRPr="003170A8">
              <w:rPr>
                <w:rFonts w:asciiTheme="majorHAnsi" w:hAnsiTheme="majorHAnsi" w:cstheme="majorHAnsi"/>
                <w:color w:val="212121"/>
                <w:sz w:val="18"/>
                <w:lang w:val="en-US"/>
              </w:rPr>
              <w:t xml:space="preserve">An important condition to realize the IUC methodological objectives is the decentralization of the </w:t>
            </w:r>
            <w:proofErr w:type="spellStart"/>
            <w:r w:rsidR="003170A8" w:rsidRPr="003170A8">
              <w:rPr>
                <w:rFonts w:asciiTheme="majorHAnsi" w:hAnsiTheme="majorHAnsi" w:cstheme="majorHAnsi"/>
                <w:color w:val="212121"/>
                <w:sz w:val="18"/>
                <w:lang w:val="en-US"/>
              </w:rPr>
              <w:t>programme’s</w:t>
            </w:r>
            <w:proofErr w:type="spellEnd"/>
            <w:r w:rsidR="003170A8" w:rsidRPr="003170A8">
              <w:rPr>
                <w:rFonts w:asciiTheme="majorHAnsi" w:hAnsiTheme="majorHAnsi" w:cstheme="majorHAnsi"/>
                <w:color w:val="212121"/>
                <w:sz w:val="18"/>
                <w:lang w:val="en-US"/>
              </w:rPr>
              <w:t xml:space="preserve"> responsibilities and budgets towards the regional UCB units. Only when a certain amount of autonomy for the regional TLC teams is respected and ensured, the innovative TLC approach of this IUC </w:t>
            </w:r>
            <w:proofErr w:type="spellStart"/>
            <w:r w:rsidR="003170A8" w:rsidRPr="003170A8">
              <w:rPr>
                <w:rFonts w:asciiTheme="majorHAnsi" w:hAnsiTheme="majorHAnsi" w:cstheme="majorHAnsi"/>
                <w:color w:val="212121"/>
                <w:sz w:val="18"/>
                <w:lang w:val="en-US"/>
              </w:rPr>
              <w:t>programme</w:t>
            </w:r>
            <w:proofErr w:type="spellEnd"/>
            <w:r w:rsidR="003170A8" w:rsidRPr="003170A8">
              <w:rPr>
                <w:rFonts w:asciiTheme="majorHAnsi" w:hAnsiTheme="majorHAnsi" w:cstheme="majorHAnsi"/>
                <w:color w:val="212121"/>
                <w:sz w:val="18"/>
                <w:lang w:val="en-US"/>
              </w:rPr>
              <w:t xml:space="preserve"> can be realized. </w:t>
            </w:r>
            <w:r w:rsidR="008314E9" w:rsidRPr="003170A8">
              <w:rPr>
                <w:rFonts w:asciiTheme="majorHAnsi" w:hAnsiTheme="majorHAnsi" w:cstheme="majorHAnsi"/>
                <w:color w:val="212121"/>
                <w:sz w:val="18"/>
                <w:lang w:val="en-US"/>
              </w:rPr>
              <w:t xml:space="preserve">The </w:t>
            </w:r>
            <w:r w:rsidR="003170A8">
              <w:rPr>
                <w:rFonts w:asciiTheme="majorHAnsi" w:hAnsiTheme="majorHAnsi" w:cstheme="majorHAnsi"/>
                <w:color w:val="212121"/>
                <w:sz w:val="18"/>
                <w:lang w:val="en-US"/>
              </w:rPr>
              <w:t xml:space="preserve">national </w:t>
            </w:r>
            <w:r w:rsidR="008314E9" w:rsidRPr="003170A8">
              <w:rPr>
                <w:rFonts w:asciiTheme="majorHAnsi" w:hAnsiTheme="majorHAnsi" w:cstheme="majorHAnsi"/>
                <w:color w:val="212121"/>
                <w:sz w:val="18"/>
                <w:lang w:val="en-US"/>
              </w:rPr>
              <w:t xml:space="preserve">UCB authorities </w:t>
            </w:r>
            <w:r w:rsidR="003170A8">
              <w:rPr>
                <w:rFonts w:asciiTheme="majorHAnsi" w:hAnsiTheme="majorHAnsi" w:cstheme="majorHAnsi"/>
                <w:color w:val="212121"/>
                <w:sz w:val="18"/>
                <w:lang w:val="en-US"/>
              </w:rPr>
              <w:t>acknowledged the need of regionally decentralized</w:t>
            </w:r>
            <w:r w:rsidR="008314E9" w:rsidRPr="003170A8">
              <w:rPr>
                <w:rFonts w:asciiTheme="majorHAnsi" w:hAnsiTheme="majorHAnsi" w:cstheme="majorHAnsi"/>
                <w:color w:val="212121"/>
                <w:sz w:val="18"/>
                <w:lang w:val="en-US"/>
              </w:rPr>
              <w:t xml:space="preserve"> administrative procedures for the management of the IUC </w:t>
            </w:r>
            <w:proofErr w:type="spellStart"/>
            <w:r w:rsidR="008314E9" w:rsidRPr="003170A8">
              <w:rPr>
                <w:rFonts w:asciiTheme="majorHAnsi" w:hAnsiTheme="majorHAnsi" w:cstheme="majorHAnsi"/>
                <w:color w:val="212121"/>
                <w:sz w:val="18"/>
                <w:lang w:val="en-US"/>
              </w:rPr>
              <w:t>Programme</w:t>
            </w:r>
            <w:proofErr w:type="spellEnd"/>
            <w:r w:rsidR="008314E9" w:rsidRPr="003170A8">
              <w:rPr>
                <w:rFonts w:asciiTheme="majorHAnsi" w:hAnsiTheme="majorHAnsi" w:cstheme="majorHAnsi"/>
                <w:color w:val="212121"/>
                <w:sz w:val="18"/>
                <w:lang w:val="en-US"/>
              </w:rPr>
              <w:t>, allowing the IUC to be flexible organized and to use the budget</w:t>
            </w:r>
            <w:r w:rsidR="003170A8">
              <w:rPr>
                <w:rFonts w:asciiTheme="majorHAnsi" w:hAnsiTheme="majorHAnsi" w:cstheme="majorHAnsi"/>
                <w:color w:val="212121"/>
                <w:sz w:val="18"/>
                <w:lang w:val="en-US"/>
              </w:rPr>
              <w:t>s</w:t>
            </w:r>
            <w:r w:rsidR="008314E9" w:rsidRPr="003170A8">
              <w:rPr>
                <w:rFonts w:asciiTheme="majorHAnsi" w:hAnsiTheme="majorHAnsi" w:cstheme="majorHAnsi"/>
                <w:color w:val="212121"/>
                <w:sz w:val="18"/>
                <w:lang w:val="en-US"/>
              </w:rPr>
              <w:t xml:space="preserve"> in a fast and easy way.</w:t>
            </w:r>
          </w:p>
        </w:tc>
      </w:tr>
    </w:tbl>
    <w:p w14:paraId="40963BB9" w14:textId="76C20182" w:rsidR="001E54B6" w:rsidRDefault="001E54B6" w:rsidP="0071757C">
      <w:pPr>
        <w:pStyle w:val="Heading2"/>
        <w:numPr>
          <w:ilvl w:val="0"/>
          <w:numId w:val="45"/>
        </w:numPr>
      </w:pPr>
      <w:r>
        <w:t xml:space="preserve">Assumptions, preconditions, sustainability </w:t>
      </w:r>
      <w:r w:rsidRPr="002B0F90">
        <w:rPr>
          <w:rFonts w:eastAsia="Times New Roman"/>
          <w:b w:val="0"/>
          <w:bCs w:val="0"/>
          <w:i/>
          <w:sz w:val="20"/>
          <w:szCs w:val="20"/>
        </w:rPr>
        <w:t>(</w:t>
      </w:r>
      <w:r>
        <w:rPr>
          <w:rFonts w:eastAsia="Times New Roman"/>
          <w:b w:val="0"/>
          <w:bCs w:val="0"/>
          <w:i/>
          <w:sz w:val="20"/>
          <w:szCs w:val="20"/>
        </w:rPr>
        <w:t xml:space="preserve">Max. </w:t>
      </w:r>
      <w:r w:rsidRPr="002B0F90">
        <w:rPr>
          <w:rFonts w:eastAsia="Times New Roman"/>
          <w:b w:val="0"/>
          <w:bCs w:val="0"/>
          <w:i/>
          <w:sz w:val="20"/>
          <w:szCs w:val="20"/>
        </w:rPr>
        <w:t>1 page)</w:t>
      </w:r>
    </w:p>
    <w:tbl>
      <w:tblPr>
        <w:tblStyle w:val="TableGrid"/>
        <w:tblW w:w="0" w:type="auto"/>
        <w:tblCellMar>
          <w:top w:w="57" w:type="dxa"/>
        </w:tblCellMar>
        <w:tblLook w:val="04A0" w:firstRow="1" w:lastRow="0" w:firstColumn="1" w:lastColumn="0" w:noHBand="0" w:noVBand="1"/>
      </w:tblPr>
      <w:tblGrid>
        <w:gridCol w:w="9212"/>
      </w:tblGrid>
      <w:tr w:rsidR="00AB25A4" w:rsidRPr="00114B17" w14:paraId="581DEBA4" w14:textId="77777777" w:rsidTr="00AB25A4">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70ED3BD9" w14:textId="77777777" w:rsidR="00AB25A4" w:rsidRPr="00B05215" w:rsidRDefault="00482FF6" w:rsidP="00482FF6">
            <w:pPr>
              <w:spacing w:after="0"/>
              <w:rPr>
                <w:lang w:val="en-GB"/>
              </w:rPr>
            </w:pPr>
            <w:r>
              <w:rPr>
                <w:lang w:val="en-GB"/>
              </w:rPr>
              <w:t>Comments on the</w:t>
            </w:r>
            <w:r w:rsidR="00AB25A4">
              <w:rPr>
                <w:lang w:val="en-GB"/>
              </w:rPr>
              <w:t xml:space="preserve"> preconditions and external factors that can i</w:t>
            </w:r>
            <w:r>
              <w:rPr>
                <w:lang w:val="en-GB"/>
              </w:rPr>
              <w:t xml:space="preserve">nfluence the realisation of a future </w:t>
            </w:r>
            <w:r>
              <w:rPr>
                <w:lang w:val="en-GB"/>
              </w:rPr>
              <w:lastRenderedPageBreak/>
              <w:t>programme and issues to address before the end of the Phase In</w:t>
            </w:r>
          </w:p>
        </w:tc>
      </w:tr>
      <w:tr w:rsidR="00AB25A4" w:rsidRPr="00114B17" w14:paraId="39370BF6" w14:textId="77777777" w:rsidTr="00AB25A4">
        <w:tc>
          <w:tcPr>
            <w:tcW w:w="9212" w:type="dxa"/>
            <w:tcBorders>
              <w:top w:val="single" w:sz="4" w:space="0" w:color="9FA585"/>
              <w:left w:val="single" w:sz="4" w:space="0" w:color="9FA585"/>
              <w:bottom w:val="single" w:sz="4" w:space="0" w:color="9FA585"/>
              <w:right w:val="single" w:sz="4" w:space="0" w:color="9FA585"/>
            </w:tcBorders>
          </w:tcPr>
          <w:p w14:paraId="0A41DBB9" w14:textId="1D24134E" w:rsidR="00C80ABC" w:rsidRDefault="002B6A00" w:rsidP="007F134B">
            <w:pPr>
              <w:spacing w:after="0" w:line="264" w:lineRule="auto"/>
              <w:rPr>
                <w:rFonts w:asciiTheme="majorHAnsi" w:hAnsiTheme="majorHAnsi" w:cstheme="majorHAnsi"/>
                <w:color w:val="212121"/>
                <w:sz w:val="18"/>
                <w:lang w:val="en-US" w:eastAsia="es-BO"/>
              </w:rPr>
            </w:pPr>
            <w:r>
              <w:rPr>
                <w:rFonts w:asciiTheme="majorHAnsi" w:hAnsiTheme="majorHAnsi" w:cstheme="majorHAnsi"/>
                <w:color w:val="212121"/>
                <w:sz w:val="18"/>
                <w:lang w:val="en-US" w:eastAsia="es-BO"/>
              </w:rPr>
              <w:lastRenderedPageBreak/>
              <w:t>Besides issues on stakeholders and UCB administration and personnel</w:t>
            </w:r>
            <w:r w:rsidR="0062514C">
              <w:rPr>
                <w:rFonts w:asciiTheme="majorHAnsi" w:hAnsiTheme="majorHAnsi" w:cstheme="majorHAnsi"/>
                <w:color w:val="212121"/>
                <w:sz w:val="18"/>
                <w:lang w:val="en-US" w:eastAsia="es-BO"/>
              </w:rPr>
              <w:t>,</w:t>
            </w:r>
            <w:r>
              <w:rPr>
                <w:rFonts w:asciiTheme="majorHAnsi" w:hAnsiTheme="majorHAnsi" w:cstheme="majorHAnsi"/>
                <w:color w:val="212121"/>
                <w:sz w:val="18"/>
                <w:lang w:val="en-US" w:eastAsia="es-BO"/>
              </w:rPr>
              <w:t xml:space="preserve"> as mentioned in the previous report AP 2015, some more issues to address turned up </w:t>
            </w:r>
            <w:r w:rsidR="00BE432F">
              <w:rPr>
                <w:rFonts w:asciiTheme="majorHAnsi" w:hAnsiTheme="majorHAnsi" w:cstheme="majorHAnsi"/>
                <w:color w:val="212121"/>
                <w:sz w:val="18"/>
                <w:lang w:val="en-US" w:eastAsia="es-BO"/>
              </w:rPr>
              <w:t xml:space="preserve">throughout this second part of the Pre-Partner </w:t>
            </w:r>
            <w:proofErr w:type="spellStart"/>
            <w:r w:rsidR="00BE432F">
              <w:rPr>
                <w:rFonts w:asciiTheme="majorHAnsi" w:hAnsiTheme="majorHAnsi" w:cstheme="majorHAnsi"/>
                <w:color w:val="212121"/>
                <w:sz w:val="18"/>
                <w:lang w:val="en-US" w:eastAsia="es-BO"/>
              </w:rPr>
              <w:t>Programme</w:t>
            </w:r>
            <w:proofErr w:type="spellEnd"/>
            <w:r w:rsidR="00BE432F">
              <w:rPr>
                <w:rFonts w:asciiTheme="majorHAnsi" w:hAnsiTheme="majorHAnsi" w:cstheme="majorHAnsi"/>
                <w:color w:val="212121"/>
                <w:sz w:val="18"/>
                <w:lang w:val="en-US" w:eastAsia="es-BO"/>
              </w:rPr>
              <w:t xml:space="preserve">.  </w:t>
            </w:r>
          </w:p>
          <w:p w14:paraId="72707E41" w14:textId="77777777" w:rsidR="00BE432F" w:rsidRDefault="00BE432F" w:rsidP="007F134B">
            <w:pPr>
              <w:pStyle w:val="HTMLPreformatted"/>
              <w:shd w:val="clear" w:color="auto" w:fill="FFFFFF"/>
              <w:spacing w:line="264" w:lineRule="auto"/>
              <w:rPr>
                <w:rFonts w:asciiTheme="majorHAnsi" w:hAnsiTheme="majorHAnsi" w:cstheme="majorHAnsi"/>
                <w:b/>
                <w:color w:val="212121"/>
                <w:sz w:val="18"/>
                <w:lang w:val="en-US"/>
              </w:rPr>
            </w:pPr>
          </w:p>
          <w:p w14:paraId="6FDF8A48" w14:textId="1B0F72D8" w:rsidR="00355FEC" w:rsidRPr="00C23E6B" w:rsidRDefault="00BE432F" w:rsidP="00355FEC">
            <w:pPr>
              <w:pStyle w:val="HTMLPreformatted"/>
              <w:shd w:val="clear" w:color="auto" w:fill="FFFFFF"/>
              <w:spacing w:line="264" w:lineRule="auto"/>
              <w:rPr>
                <w:rFonts w:asciiTheme="majorHAnsi" w:hAnsiTheme="majorHAnsi" w:cstheme="majorHAnsi"/>
                <w:color w:val="212121"/>
                <w:sz w:val="18"/>
                <w:lang w:val="en"/>
              </w:rPr>
            </w:pPr>
            <w:r w:rsidRPr="00BE432F">
              <w:rPr>
                <w:rFonts w:asciiTheme="majorHAnsi" w:hAnsiTheme="majorHAnsi" w:cstheme="majorHAnsi"/>
                <w:color w:val="212121"/>
                <w:sz w:val="18"/>
                <w:lang w:val="en-US"/>
              </w:rPr>
              <w:t xml:space="preserve">Concerning </w:t>
            </w:r>
            <w:r>
              <w:rPr>
                <w:rFonts w:asciiTheme="majorHAnsi" w:hAnsiTheme="majorHAnsi" w:cstheme="majorHAnsi"/>
                <w:color w:val="212121"/>
                <w:sz w:val="18"/>
                <w:lang w:val="en-US"/>
              </w:rPr>
              <w:t xml:space="preserve">the </w:t>
            </w:r>
            <w:r w:rsidR="00355FEC">
              <w:rPr>
                <w:rFonts w:asciiTheme="majorHAnsi" w:hAnsiTheme="majorHAnsi" w:cstheme="majorHAnsi"/>
                <w:color w:val="212121"/>
                <w:sz w:val="18"/>
                <w:lang w:val="en-US"/>
              </w:rPr>
              <w:t xml:space="preserve">previous issue on </w:t>
            </w:r>
            <w:r w:rsidRPr="00BE432F">
              <w:rPr>
                <w:rFonts w:asciiTheme="majorHAnsi" w:hAnsiTheme="majorHAnsi" w:cstheme="majorHAnsi"/>
                <w:b/>
                <w:color w:val="212121"/>
                <w:sz w:val="18"/>
                <w:lang w:val="en-US"/>
              </w:rPr>
              <w:t>UCB</w:t>
            </w:r>
            <w:r>
              <w:rPr>
                <w:rFonts w:asciiTheme="majorHAnsi" w:hAnsiTheme="majorHAnsi" w:cstheme="majorHAnsi"/>
                <w:color w:val="212121"/>
                <w:sz w:val="18"/>
                <w:lang w:val="en-US"/>
              </w:rPr>
              <w:t xml:space="preserve"> </w:t>
            </w:r>
            <w:r w:rsidR="008455BC" w:rsidRPr="006C3F48">
              <w:rPr>
                <w:rFonts w:asciiTheme="majorHAnsi" w:hAnsiTheme="majorHAnsi" w:cstheme="majorHAnsi"/>
                <w:b/>
                <w:color w:val="212121"/>
                <w:sz w:val="18"/>
                <w:lang w:val="en-US"/>
              </w:rPr>
              <w:t>Administrative procedures and personnel</w:t>
            </w:r>
            <w:r>
              <w:rPr>
                <w:rFonts w:asciiTheme="majorHAnsi" w:hAnsiTheme="majorHAnsi" w:cstheme="majorHAnsi"/>
                <w:b/>
                <w:color w:val="212121"/>
                <w:sz w:val="18"/>
                <w:lang w:val="en-US"/>
              </w:rPr>
              <w:t xml:space="preserve"> policy, </w:t>
            </w:r>
            <w:r w:rsidRPr="00BE432F">
              <w:rPr>
                <w:rFonts w:asciiTheme="majorHAnsi" w:hAnsiTheme="majorHAnsi" w:cstheme="majorHAnsi"/>
                <w:color w:val="212121"/>
                <w:sz w:val="18"/>
                <w:lang w:val="en-US"/>
              </w:rPr>
              <w:t xml:space="preserve">we </w:t>
            </w:r>
            <w:r>
              <w:rPr>
                <w:rFonts w:asciiTheme="majorHAnsi" w:hAnsiTheme="majorHAnsi" w:cstheme="majorHAnsi"/>
                <w:color w:val="212121"/>
                <w:sz w:val="18"/>
                <w:lang w:val="en-US"/>
              </w:rPr>
              <w:t xml:space="preserve">mentioned in the </w:t>
            </w:r>
            <w:r w:rsidR="00355FEC">
              <w:rPr>
                <w:rFonts w:asciiTheme="majorHAnsi" w:hAnsiTheme="majorHAnsi" w:cstheme="majorHAnsi"/>
                <w:color w:val="212121"/>
                <w:sz w:val="18"/>
                <w:lang w:val="en-US"/>
              </w:rPr>
              <w:t>AP 2015</w:t>
            </w:r>
            <w:r>
              <w:rPr>
                <w:rFonts w:asciiTheme="majorHAnsi" w:hAnsiTheme="majorHAnsi" w:cstheme="majorHAnsi"/>
                <w:color w:val="212121"/>
                <w:sz w:val="18"/>
                <w:lang w:val="en-US"/>
              </w:rPr>
              <w:t xml:space="preserve"> report the lack of </w:t>
            </w:r>
            <w:r w:rsidRPr="00C23E6B">
              <w:rPr>
                <w:rFonts w:asciiTheme="majorHAnsi" w:hAnsiTheme="majorHAnsi" w:cstheme="majorHAnsi"/>
                <w:color w:val="212121"/>
                <w:sz w:val="18"/>
                <w:lang w:val="en"/>
              </w:rPr>
              <w:t>fulltime staff members</w:t>
            </w:r>
            <w:r>
              <w:rPr>
                <w:rFonts w:asciiTheme="majorHAnsi" w:hAnsiTheme="majorHAnsi" w:cstheme="majorHAnsi"/>
                <w:color w:val="212121"/>
                <w:sz w:val="18"/>
                <w:lang w:val="en"/>
              </w:rPr>
              <w:t xml:space="preserve"> </w:t>
            </w:r>
            <w:r w:rsidR="00355FEC">
              <w:rPr>
                <w:rFonts w:asciiTheme="majorHAnsi" w:hAnsiTheme="majorHAnsi" w:cstheme="majorHAnsi"/>
                <w:color w:val="212121"/>
                <w:sz w:val="18"/>
                <w:lang w:val="en"/>
              </w:rPr>
              <w:t xml:space="preserve">at the different UCB </w:t>
            </w:r>
            <w:r w:rsidR="00F83EB8">
              <w:rPr>
                <w:rFonts w:asciiTheme="majorHAnsi" w:hAnsiTheme="majorHAnsi" w:cstheme="majorHAnsi"/>
                <w:color w:val="212121"/>
                <w:sz w:val="18"/>
                <w:lang w:val="en"/>
              </w:rPr>
              <w:t>academic units</w:t>
            </w:r>
            <w:r w:rsidR="00355FEC">
              <w:rPr>
                <w:rFonts w:asciiTheme="majorHAnsi" w:hAnsiTheme="majorHAnsi" w:cstheme="majorHAnsi"/>
                <w:color w:val="212121"/>
                <w:sz w:val="18"/>
                <w:lang w:val="en"/>
              </w:rPr>
              <w:t xml:space="preserve"> </w:t>
            </w:r>
            <w:r>
              <w:rPr>
                <w:rFonts w:asciiTheme="majorHAnsi" w:hAnsiTheme="majorHAnsi" w:cstheme="majorHAnsi"/>
                <w:color w:val="212121"/>
                <w:sz w:val="18"/>
                <w:lang w:val="en"/>
              </w:rPr>
              <w:t>as a risk factor for the success and sustainability of the programme. At the moment less than 30% of the UCB faculty members are full-time appointed</w:t>
            </w:r>
            <w:r w:rsidR="00355FEC">
              <w:rPr>
                <w:rFonts w:asciiTheme="majorHAnsi" w:hAnsiTheme="majorHAnsi" w:cstheme="majorHAnsi"/>
                <w:color w:val="212121"/>
                <w:sz w:val="18"/>
                <w:lang w:val="en"/>
              </w:rPr>
              <w:t>,</w:t>
            </w:r>
            <w:r>
              <w:rPr>
                <w:rFonts w:asciiTheme="majorHAnsi" w:hAnsiTheme="majorHAnsi" w:cstheme="majorHAnsi"/>
                <w:color w:val="212121"/>
                <w:sz w:val="18"/>
                <w:lang w:val="en"/>
              </w:rPr>
              <w:t xml:space="preserve"> </w:t>
            </w:r>
            <w:r w:rsidR="00355FEC">
              <w:rPr>
                <w:rFonts w:asciiTheme="majorHAnsi" w:hAnsiTheme="majorHAnsi" w:cstheme="majorHAnsi"/>
                <w:color w:val="212121"/>
                <w:sz w:val="18"/>
                <w:lang w:val="en"/>
              </w:rPr>
              <w:t xml:space="preserve">which means that </w:t>
            </w:r>
            <w:r w:rsidR="00355FEC" w:rsidRPr="00C23E6B">
              <w:rPr>
                <w:rFonts w:asciiTheme="majorHAnsi" w:hAnsiTheme="majorHAnsi" w:cstheme="majorHAnsi"/>
                <w:color w:val="212121"/>
                <w:sz w:val="18"/>
                <w:lang w:val="en"/>
              </w:rPr>
              <w:t>they have to take up other jobs</w:t>
            </w:r>
            <w:r w:rsidR="00355FEC">
              <w:rPr>
                <w:rFonts w:asciiTheme="majorHAnsi" w:hAnsiTheme="majorHAnsi" w:cstheme="majorHAnsi"/>
                <w:color w:val="212121"/>
                <w:sz w:val="18"/>
                <w:lang w:val="en"/>
              </w:rPr>
              <w:t xml:space="preserve"> outside the university</w:t>
            </w:r>
            <w:r w:rsidR="00355FEC" w:rsidRPr="00C23E6B">
              <w:rPr>
                <w:rFonts w:asciiTheme="majorHAnsi" w:hAnsiTheme="majorHAnsi" w:cstheme="majorHAnsi"/>
                <w:color w:val="212121"/>
                <w:sz w:val="18"/>
                <w:lang w:val="en"/>
              </w:rPr>
              <w:t>, while it will be important for the different stakeholders involved in the IUC programme to have UCB partners that are permanent references</w:t>
            </w:r>
            <w:r w:rsidR="00355FEC">
              <w:rPr>
                <w:rFonts w:asciiTheme="majorHAnsi" w:hAnsiTheme="majorHAnsi" w:cstheme="majorHAnsi"/>
                <w:color w:val="212121"/>
                <w:sz w:val="18"/>
                <w:lang w:val="en"/>
              </w:rPr>
              <w:t xml:space="preserve"> </w:t>
            </w:r>
            <w:r>
              <w:rPr>
                <w:rFonts w:asciiTheme="majorHAnsi" w:hAnsiTheme="majorHAnsi" w:cstheme="majorHAnsi"/>
                <w:color w:val="212121"/>
                <w:sz w:val="18"/>
                <w:lang w:val="en"/>
              </w:rPr>
              <w:t xml:space="preserve">and </w:t>
            </w:r>
            <w:r w:rsidR="00355FEC">
              <w:rPr>
                <w:rFonts w:asciiTheme="majorHAnsi" w:hAnsiTheme="majorHAnsi" w:cstheme="majorHAnsi"/>
                <w:color w:val="212121"/>
                <w:sz w:val="18"/>
                <w:lang w:val="en"/>
              </w:rPr>
              <w:t xml:space="preserve">working </w:t>
            </w:r>
            <w:r>
              <w:rPr>
                <w:rFonts w:asciiTheme="majorHAnsi" w:hAnsiTheme="majorHAnsi" w:cstheme="majorHAnsi"/>
                <w:color w:val="212121"/>
                <w:sz w:val="18"/>
                <w:lang w:val="en"/>
              </w:rPr>
              <w:t>permanent</w:t>
            </w:r>
            <w:r w:rsidR="00355FEC">
              <w:rPr>
                <w:rFonts w:asciiTheme="majorHAnsi" w:hAnsiTheme="majorHAnsi" w:cstheme="majorHAnsi"/>
                <w:color w:val="212121"/>
                <w:sz w:val="18"/>
                <w:lang w:val="en"/>
              </w:rPr>
              <w:t xml:space="preserve"> at the university. </w:t>
            </w:r>
          </w:p>
          <w:p w14:paraId="4C52DD95" w14:textId="5A24B505" w:rsidR="004A599D" w:rsidRDefault="003E5BDF" w:rsidP="00355FEC">
            <w:pPr>
              <w:spacing w:after="0" w:line="264" w:lineRule="auto"/>
              <w:rPr>
                <w:sz w:val="18"/>
                <w:lang w:val="en"/>
              </w:rPr>
            </w:pPr>
            <w:r w:rsidRPr="00C23E6B">
              <w:rPr>
                <w:rFonts w:asciiTheme="majorHAnsi" w:hAnsiTheme="majorHAnsi" w:cstheme="majorHAnsi"/>
                <w:color w:val="212121"/>
                <w:sz w:val="18"/>
                <w:lang w:val="en"/>
              </w:rPr>
              <w:t>I</w:t>
            </w:r>
            <w:r w:rsidR="008455BC" w:rsidRPr="00C23E6B">
              <w:rPr>
                <w:rFonts w:asciiTheme="majorHAnsi" w:hAnsiTheme="majorHAnsi" w:cstheme="majorHAnsi"/>
                <w:color w:val="212121"/>
                <w:sz w:val="18"/>
                <w:lang w:val="en"/>
              </w:rPr>
              <w:t xml:space="preserve">n the same way the administrative personnel </w:t>
            </w:r>
            <w:r w:rsidR="00C23E6B" w:rsidRPr="00C23E6B">
              <w:rPr>
                <w:rFonts w:asciiTheme="majorHAnsi" w:hAnsiTheme="majorHAnsi" w:cstheme="majorHAnsi"/>
                <w:color w:val="212121"/>
                <w:sz w:val="18"/>
                <w:lang w:val="en"/>
              </w:rPr>
              <w:t xml:space="preserve">of the UCB </w:t>
            </w:r>
            <w:r w:rsidR="008455BC" w:rsidRPr="00C23E6B">
              <w:rPr>
                <w:rFonts w:asciiTheme="majorHAnsi" w:hAnsiTheme="majorHAnsi" w:cstheme="majorHAnsi"/>
                <w:color w:val="212121"/>
                <w:sz w:val="18"/>
                <w:lang w:val="en"/>
              </w:rPr>
              <w:t>involved in the IUC program</w:t>
            </w:r>
            <w:r w:rsidRPr="00C23E6B">
              <w:rPr>
                <w:rFonts w:asciiTheme="majorHAnsi" w:hAnsiTheme="majorHAnsi" w:cstheme="majorHAnsi"/>
                <w:color w:val="212121"/>
                <w:sz w:val="18"/>
                <w:lang w:val="en"/>
              </w:rPr>
              <w:t>me</w:t>
            </w:r>
            <w:r w:rsidR="008455BC" w:rsidRPr="00C23E6B">
              <w:rPr>
                <w:rFonts w:asciiTheme="majorHAnsi" w:hAnsiTheme="majorHAnsi" w:cstheme="majorHAnsi"/>
                <w:color w:val="212121"/>
                <w:sz w:val="18"/>
                <w:lang w:val="en"/>
              </w:rPr>
              <w:t xml:space="preserve"> should </w:t>
            </w:r>
            <w:r w:rsidR="00C23E6B" w:rsidRPr="00C23E6B">
              <w:rPr>
                <w:rFonts w:asciiTheme="majorHAnsi" w:hAnsiTheme="majorHAnsi" w:cstheme="majorHAnsi"/>
                <w:color w:val="212121"/>
                <w:sz w:val="18"/>
                <w:lang w:val="en"/>
              </w:rPr>
              <w:t xml:space="preserve">be able to </w:t>
            </w:r>
            <w:r w:rsidR="008455BC" w:rsidRPr="00C23E6B">
              <w:rPr>
                <w:rFonts w:asciiTheme="majorHAnsi" w:hAnsiTheme="majorHAnsi" w:cstheme="majorHAnsi"/>
                <w:color w:val="212121"/>
                <w:sz w:val="18"/>
                <w:lang w:val="en"/>
              </w:rPr>
              <w:t>take over the program</w:t>
            </w:r>
            <w:r w:rsidR="00C23E6B" w:rsidRPr="00C23E6B">
              <w:rPr>
                <w:rFonts w:asciiTheme="majorHAnsi" w:hAnsiTheme="majorHAnsi" w:cstheme="majorHAnsi"/>
                <w:color w:val="212121"/>
                <w:sz w:val="18"/>
                <w:lang w:val="en"/>
              </w:rPr>
              <w:t>me</w:t>
            </w:r>
            <w:r w:rsidR="008455BC" w:rsidRPr="00C23E6B">
              <w:rPr>
                <w:rFonts w:asciiTheme="majorHAnsi" w:hAnsiTheme="majorHAnsi" w:cstheme="majorHAnsi"/>
                <w:color w:val="212121"/>
                <w:sz w:val="18"/>
                <w:lang w:val="en"/>
              </w:rPr>
              <w:t xml:space="preserve"> as part of institutional strengthening, implementing </w:t>
            </w:r>
            <w:r w:rsidRPr="00C23E6B">
              <w:rPr>
                <w:rFonts w:asciiTheme="majorHAnsi" w:hAnsiTheme="majorHAnsi" w:cstheme="majorHAnsi"/>
                <w:color w:val="212121"/>
                <w:sz w:val="18"/>
                <w:lang w:val="en"/>
              </w:rPr>
              <w:t xml:space="preserve">in their work the best practices </w:t>
            </w:r>
            <w:r w:rsidR="00355FEC">
              <w:rPr>
                <w:rFonts w:asciiTheme="majorHAnsi" w:hAnsiTheme="majorHAnsi" w:cstheme="majorHAnsi"/>
                <w:color w:val="212121"/>
                <w:sz w:val="18"/>
                <w:lang w:val="en"/>
              </w:rPr>
              <w:t xml:space="preserve">learned </w:t>
            </w:r>
            <w:r w:rsidRPr="00C23E6B">
              <w:rPr>
                <w:rFonts w:asciiTheme="majorHAnsi" w:hAnsiTheme="majorHAnsi" w:cstheme="majorHAnsi"/>
                <w:color w:val="212121"/>
                <w:sz w:val="18"/>
                <w:lang w:val="en"/>
              </w:rPr>
              <w:t xml:space="preserve">from </w:t>
            </w:r>
            <w:r w:rsidR="00355FEC">
              <w:rPr>
                <w:rFonts w:asciiTheme="majorHAnsi" w:hAnsiTheme="majorHAnsi" w:cstheme="majorHAnsi"/>
                <w:color w:val="212121"/>
                <w:sz w:val="18"/>
                <w:lang w:val="en"/>
              </w:rPr>
              <w:t xml:space="preserve">the </w:t>
            </w:r>
            <w:r w:rsidR="008455BC" w:rsidRPr="00C23E6B">
              <w:rPr>
                <w:rFonts w:asciiTheme="majorHAnsi" w:hAnsiTheme="majorHAnsi" w:cstheme="majorHAnsi"/>
                <w:color w:val="212121"/>
                <w:sz w:val="18"/>
                <w:lang w:val="en"/>
              </w:rPr>
              <w:t xml:space="preserve">IUC </w:t>
            </w:r>
            <w:r w:rsidR="00355FEC">
              <w:rPr>
                <w:rFonts w:asciiTheme="majorHAnsi" w:hAnsiTheme="majorHAnsi" w:cstheme="majorHAnsi"/>
                <w:color w:val="212121"/>
                <w:sz w:val="18"/>
                <w:lang w:val="en"/>
              </w:rPr>
              <w:t xml:space="preserve">programme, </w:t>
            </w:r>
            <w:r w:rsidRPr="00C23E6B">
              <w:rPr>
                <w:rFonts w:asciiTheme="majorHAnsi" w:hAnsiTheme="majorHAnsi" w:cstheme="majorHAnsi"/>
                <w:color w:val="212121"/>
                <w:sz w:val="18"/>
                <w:lang w:val="en"/>
              </w:rPr>
              <w:t>to improve the UCB performance</w:t>
            </w:r>
            <w:r w:rsidR="00C23E6B" w:rsidRPr="00C23E6B">
              <w:rPr>
                <w:rFonts w:asciiTheme="majorHAnsi" w:hAnsiTheme="majorHAnsi" w:cstheme="majorHAnsi"/>
                <w:color w:val="212121"/>
                <w:sz w:val="18"/>
                <w:lang w:val="en"/>
              </w:rPr>
              <w:t xml:space="preserve">. </w:t>
            </w:r>
            <w:r w:rsidR="00355FEC">
              <w:rPr>
                <w:rFonts w:asciiTheme="majorHAnsi" w:hAnsiTheme="majorHAnsi" w:cstheme="majorHAnsi"/>
                <w:color w:val="212121"/>
                <w:sz w:val="18"/>
                <w:lang w:val="en"/>
              </w:rPr>
              <w:t>Till now</w:t>
            </w:r>
            <w:r w:rsidR="00F83EB8">
              <w:rPr>
                <w:rFonts w:asciiTheme="majorHAnsi" w:hAnsiTheme="majorHAnsi" w:cstheme="majorHAnsi"/>
                <w:color w:val="212121"/>
                <w:sz w:val="18"/>
                <w:lang w:val="en"/>
              </w:rPr>
              <w:t>,</w:t>
            </w:r>
            <w:r w:rsidR="00355FEC">
              <w:rPr>
                <w:rFonts w:asciiTheme="majorHAnsi" w:hAnsiTheme="majorHAnsi" w:cstheme="majorHAnsi"/>
                <w:color w:val="212121"/>
                <w:sz w:val="18"/>
                <w:lang w:val="en"/>
              </w:rPr>
              <w:t xml:space="preserve"> </w:t>
            </w:r>
            <w:r w:rsidR="00C23E6B" w:rsidRPr="002E2B2C">
              <w:rPr>
                <w:sz w:val="18"/>
                <w:lang w:val="en"/>
              </w:rPr>
              <w:t xml:space="preserve">the planned administrative staff has not </w:t>
            </w:r>
            <w:r w:rsidR="00F83EB8">
              <w:rPr>
                <w:sz w:val="18"/>
                <w:lang w:val="en"/>
              </w:rPr>
              <w:t xml:space="preserve">yet </w:t>
            </w:r>
            <w:r w:rsidR="00C23E6B" w:rsidRPr="002E2B2C">
              <w:rPr>
                <w:sz w:val="18"/>
                <w:lang w:val="en"/>
              </w:rPr>
              <w:t>been incorporated</w:t>
            </w:r>
            <w:r w:rsidR="00F83EB8">
              <w:rPr>
                <w:sz w:val="18"/>
                <w:lang w:val="en"/>
              </w:rPr>
              <w:t xml:space="preserve"> in an optimal and sufficient way</w:t>
            </w:r>
            <w:r w:rsidR="00C23E6B" w:rsidRPr="002E2B2C">
              <w:rPr>
                <w:sz w:val="18"/>
                <w:lang w:val="en"/>
              </w:rPr>
              <w:t xml:space="preserve">, </w:t>
            </w:r>
            <w:r w:rsidR="00355FEC">
              <w:rPr>
                <w:sz w:val="18"/>
                <w:lang w:val="en"/>
              </w:rPr>
              <w:t xml:space="preserve">although </w:t>
            </w:r>
            <w:r w:rsidR="00C23E6B" w:rsidRPr="002E2B2C">
              <w:rPr>
                <w:sz w:val="18"/>
                <w:lang w:val="en"/>
              </w:rPr>
              <w:t xml:space="preserve">the national and regional authorities </w:t>
            </w:r>
            <w:r w:rsidR="00C23E6B">
              <w:rPr>
                <w:sz w:val="18"/>
                <w:lang w:val="en"/>
              </w:rPr>
              <w:t xml:space="preserve">decided to </w:t>
            </w:r>
            <w:r w:rsidR="00C23E6B" w:rsidRPr="002E2B2C">
              <w:rPr>
                <w:sz w:val="18"/>
                <w:lang w:val="en"/>
              </w:rPr>
              <w:t xml:space="preserve">support </w:t>
            </w:r>
            <w:r w:rsidR="00C23E6B">
              <w:rPr>
                <w:sz w:val="18"/>
                <w:lang w:val="en"/>
              </w:rPr>
              <w:t xml:space="preserve">the IUC programme </w:t>
            </w:r>
            <w:r w:rsidR="00C23E6B" w:rsidRPr="002E2B2C">
              <w:rPr>
                <w:sz w:val="18"/>
                <w:lang w:val="en"/>
              </w:rPr>
              <w:t>through a part</w:t>
            </w:r>
            <w:r w:rsidR="00B316B2">
              <w:rPr>
                <w:sz w:val="18"/>
                <w:lang w:val="en"/>
              </w:rPr>
              <w:t>-</w:t>
            </w:r>
            <w:r w:rsidR="00C23E6B" w:rsidRPr="002E2B2C">
              <w:rPr>
                <w:sz w:val="18"/>
                <w:lang w:val="en"/>
              </w:rPr>
              <w:t>time administrative assistant in each region</w:t>
            </w:r>
            <w:r w:rsidR="00355FEC">
              <w:rPr>
                <w:sz w:val="18"/>
                <w:lang w:val="en"/>
              </w:rPr>
              <w:t>. L</w:t>
            </w:r>
            <w:r w:rsidR="00C23E6B" w:rsidRPr="002E2B2C">
              <w:rPr>
                <w:sz w:val="18"/>
                <w:lang w:val="en"/>
              </w:rPr>
              <w:t>abor social cost</w:t>
            </w:r>
            <w:r w:rsidR="00355FEC">
              <w:rPr>
                <w:sz w:val="18"/>
                <w:lang w:val="en"/>
              </w:rPr>
              <w:t xml:space="preserve">s seem to be </w:t>
            </w:r>
            <w:r w:rsidR="00C23E6B" w:rsidRPr="002E2B2C">
              <w:rPr>
                <w:sz w:val="18"/>
                <w:lang w:val="en"/>
              </w:rPr>
              <w:t xml:space="preserve">too high </w:t>
            </w:r>
            <w:r w:rsidR="00B316B2">
              <w:rPr>
                <w:sz w:val="18"/>
                <w:lang w:val="en"/>
              </w:rPr>
              <w:t xml:space="preserve">to </w:t>
            </w:r>
            <w:r w:rsidR="00C23E6B" w:rsidRPr="002E2B2C">
              <w:rPr>
                <w:sz w:val="18"/>
                <w:lang w:val="en"/>
              </w:rPr>
              <w:t xml:space="preserve">cover them </w:t>
            </w:r>
            <w:r w:rsidR="00B316B2">
              <w:rPr>
                <w:sz w:val="18"/>
                <w:lang w:val="en"/>
              </w:rPr>
              <w:t xml:space="preserve">at this moment. </w:t>
            </w:r>
            <w:r w:rsidR="00C23E6B" w:rsidRPr="002E2B2C">
              <w:rPr>
                <w:sz w:val="18"/>
                <w:lang w:val="en"/>
              </w:rPr>
              <w:t>However</w:t>
            </w:r>
            <w:r w:rsidR="00B316B2">
              <w:rPr>
                <w:sz w:val="18"/>
                <w:lang w:val="en"/>
              </w:rPr>
              <w:t xml:space="preserve">, they </w:t>
            </w:r>
            <w:r w:rsidR="00C23E6B" w:rsidRPr="002E2B2C">
              <w:rPr>
                <w:sz w:val="18"/>
                <w:lang w:val="en"/>
              </w:rPr>
              <w:t xml:space="preserve">planned to </w:t>
            </w:r>
            <w:r w:rsidR="00355FEC">
              <w:rPr>
                <w:sz w:val="18"/>
                <w:lang w:val="en"/>
              </w:rPr>
              <w:t>budget</w:t>
            </w:r>
            <w:r w:rsidR="00B316B2">
              <w:rPr>
                <w:sz w:val="18"/>
                <w:lang w:val="en"/>
              </w:rPr>
              <w:t xml:space="preserve"> </w:t>
            </w:r>
            <w:r w:rsidR="00C23E6B" w:rsidRPr="002E2B2C">
              <w:rPr>
                <w:sz w:val="18"/>
                <w:lang w:val="en"/>
              </w:rPr>
              <w:t xml:space="preserve">this support at the beginning of the First Phase </w:t>
            </w:r>
            <w:r w:rsidR="00355FEC">
              <w:rPr>
                <w:sz w:val="18"/>
                <w:lang w:val="en"/>
              </w:rPr>
              <w:t xml:space="preserve">of the IUC programme </w:t>
            </w:r>
            <w:r w:rsidR="00C23E6B" w:rsidRPr="002E2B2C">
              <w:rPr>
                <w:sz w:val="18"/>
                <w:lang w:val="en"/>
              </w:rPr>
              <w:t>(</w:t>
            </w:r>
            <w:r w:rsidR="00B316B2">
              <w:rPr>
                <w:sz w:val="18"/>
                <w:lang w:val="en"/>
              </w:rPr>
              <w:t xml:space="preserve">January </w:t>
            </w:r>
            <w:r w:rsidR="00C23E6B" w:rsidRPr="002E2B2C">
              <w:rPr>
                <w:sz w:val="18"/>
                <w:lang w:val="en"/>
              </w:rPr>
              <w:t>2017). (Activity 13 of IR7).</w:t>
            </w:r>
          </w:p>
          <w:p w14:paraId="220B7AA4" w14:textId="77777777" w:rsidR="00355FEC" w:rsidRDefault="00355FEC" w:rsidP="00355FEC">
            <w:pPr>
              <w:spacing w:after="0" w:line="264" w:lineRule="auto"/>
              <w:rPr>
                <w:sz w:val="18"/>
                <w:lang w:val="en"/>
              </w:rPr>
            </w:pPr>
          </w:p>
          <w:p w14:paraId="2E3FE221" w14:textId="5E1FA85E" w:rsidR="003C0BB5" w:rsidRDefault="00F83EB8" w:rsidP="00355FEC">
            <w:pPr>
              <w:spacing w:after="0" w:line="264" w:lineRule="auto"/>
              <w:rPr>
                <w:sz w:val="18"/>
                <w:lang w:val="en"/>
              </w:rPr>
            </w:pPr>
            <w:r>
              <w:rPr>
                <w:sz w:val="18"/>
                <w:lang w:val="en"/>
              </w:rPr>
              <w:t>Two other underestimated issues we learned about throughout this prepatory period are</w:t>
            </w:r>
            <w:r w:rsidR="003C0BB5">
              <w:rPr>
                <w:sz w:val="18"/>
                <w:lang w:val="en"/>
              </w:rPr>
              <w:t>:</w:t>
            </w:r>
            <w:r>
              <w:rPr>
                <w:sz w:val="18"/>
                <w:lang w:val="en"/>
              </w:rPr>
              <w:t xml:space="preserve"> (1) the </w:t>
            </w:r>
            <w:r w:rsidR="003C0BB5">
              <w:rPr>
                <w:sz w:val="18"/>
                <w:lang w:val="en"/>
              </w:rPr>
              <w:t xml:space="preserve">required efforts and challenges to implement a Collaborative Learning Community (CLC) approach in a university context; and (2) </w:t>
            </w:r>
            <w:r w:rsidR="00A6186B">
              <w:rPr>
                <w:sz w:val="18"/>
                <w:lang w:val="en"/>
              </w:rPr>
              <w:t>the share and transfer of the ownership of the IUC programme</w:t>
            </w:r>
            <w:r w:rsidR="003C0BB5">
              <w:rPr>
                <w:sz w:val="18"/>
                <w:lang w:val="en"/>
              </w:rPr>
              <w:t xml:space="preserve">. </w:t>
            </w:r>
          </w:p>
          <w:p w14:paraId="2B43B926" w14:textId="77777777" w:rsidR="003C0BB5" w:rsidRDefault="003C0BB5" w:rsidP="00355FEC">
            <w:pPr>
              <w:spacing w:after="0" w:line="264" w:lineRule="auto"/>
              <w:rPr>
                <w:sz w:val="18"/>
                <w:lang w:val="en"/>
              </w:rPr>
            </w:pPr>
          </w:p>
          <w:p w14:paraId="38924763" w14:textId="77777777" w:rsidR="00433FE8" w:rsidRDefault="003C0BB5" w:rsidP="00355FEC">
            <w:pPr>
              <w:spacing w:after="0" w:line="264" w:lineRule="auto"/>
              <w:rPr>
                <w:sz w:val="18"/>
                <w:lang w:val="en"/>
              </w:rPr>
            </w:pPr>
            <w:r w:rsidRPr="003C0BB5">
              <w:rPr>
                <w:b/>
                <w:sz w:val="18"/>
                <w:lang w:val="en"/>
              </w:rPr>
              <w:t>Implementation of a</w:t>
            </w:r>
            <w:r w:rsidR="00F83EB8" w:rsidRPr="003C0BB5">
              <w:rPr>
                <w:b/>
                <w:sz w:val="18"/>
                <w:lang w:val="en"/>
              </w:rPr>
              <w:t xml:space="preserve"> </w:t>
            </w:r>
            <w:r w:rsidRPr="003C0BB5">
              <w:rPr>
                <w:b/>
                <w:sz w:val="18"/>
                <w:lang w:val="en"/>
              </w:rPr>
              <w:t>Collaborative Learning Community (CLC) approach in the UCB university context</w:t>
            </w:r>
            <w:r>
              <w:rPr>
                <w:b/>
                <w:sz w:val="18"/>
                <w:lang w:val="en"/>
              </w:rPr>
              <w:t xml:space="preserve">. </w:t>
            </w:r>
            <w:r w:rsidR="00F83EB8" w:rsidRPr="003C0BB5">
              <w:rPr>
                <w:b/>
                <w:sz w:val="18"/>
                <w:lang w:val="en"/>
              </w:rPr>
              <w:t xml:space="preserve"> </w:t>
            </w:r>
            <w:r w:rsidR="00A6186B">
              <w:rPr>
                <w:sz w:val="18"/>
                <w:lang w:val="en"/>
              </w:rPr>
              <w:t xml:space="preserve">This CLC approach requires an epistemological, philosophical and relational-ethical stance that is contrary to dominant academic research and training. The CLC approach is based on an epistemology that assumes that knowledge is socially constructed and </w:t>
            </w:r>
            <w:r w:rsidR="00A63AB8">
              <w:rPr>
                <w:sz w:val="18"/>
                <w:lang w:val="en"/>
              </w:rPr>
              <w:t xml:space="preserve">collaboratively </w:t>
            </w:r>
            <w:r w:rsidR="00A6186B">
              <w:rPr>
                <w:sz w:val="18"/>
                <w:lang w:val="en"/>
              </w:rPr>
              <w:t>generated</w:t>
            </w:r>
            <w:r w:rsidR="00A63AB8">
              <w:rPr>
                <w:sz w:val="18"/>
                <w:lang w:val="en"/>
              </w:rPr>
              <w:t xml:space="preserve"> in dialogues. It is considered as a joint enterpri</w:t>
            </w:r>
            <w:r w:rsidR="00AE0877">
              <w:rPr>
                <w:sz w:val="18"/>
                <w:lang w:val="en"/>
              </w:rPr>
              <w:t>s</w:t>
            </w:r>
            <w:r w:rsidR="00A63AB8">
              <w:rPr>
                <w:sz w:val="18"/>
                <w:lang w:val="en"/>
              </w:rPr>
              <w:t>e</w:t>
            </w:r>
            <w:r w:rsidR="00AE0877">
              <w:rPr>
                <w:sz w:val="18"/>
                <w:lang w:val="en"/>
              </w:rPr>
              <w:t xml:space="preserve">, not an idividual act. This joint enterprise requires a philosophical and relational-ethical stance that is based on Harlene Anderson’s concept of the not-knowing position, which meant encountering or meeting the other open-minded and curious to listen and learn, before carefully bringing in own expertise to share and to reach mutually defined objectives. </w:t>
            </w:r>
            <w:r w:rsidR="008D784B">
              <w:rPr>
                <w:sz w:val="18"/>
                <w:lang w:val="en"/>
              </w:rPr>
              <w:t xml:space="preserve">On the contrary, relational ethics in the academic context of universities is mainly based on personal and individual growth in competition to gain knowledge that is assumed to be objectively embedded in the outside world to be discovered and transferred to others. These differences in philosophical and relational-ethical stances require a fundamental transformation in academic and personal being within the universities to successfully reach the objectives of the IUC programme. </w:t>
            </w:r>
            <w:r w:rsidR="007A7FD2">
              <w:rPr>
                <w:sz w:val="18"/>
                <w:lang w:val="en"/>
              </w:rPr>
              <w:t xml:space="preserve">We learned last months that this will be </w:t>
            </w:r>
            <w:r w:rsidR="004A3877">
              <w:rPr>
                <w:sz w:val="18"/>
                <w:lang w:val="en"/>
              </w:rPr>
              <w:t>a challenging, arduous and long-lasting process that needs to be built up in a well-thought and carefully organized way at each regional UCB university. We profoundly discussed this subject during the P6</w:t>
            </w:r>
            <w:r w:rsidR="00D47CFC">
              <w:rPr>
                <w:sz w:val="18"/>
                <w:lang w:val="en"/>
              </w:rPr>
              <w:t xml:space="preserve"> workshop</w:t>
            </w:r>
            <w:r w:rsidR="004A3877">
              <w:rPr>
                <w:sz w:val="18"/>
                <w:lang w:val="en"/>
              </w:rPr>
              <w:t xml:space="preserve"> (</w:t>
            </w:r>
            <w:r w:rsidR="00D47CFC">
              <w:rPr>
                <w:sz w:val="18"/>
                <w:lang w:val="en"/>
              </w:rPr>
              <w:t xml:space="preserve">P6: transversal </w:t>
            </w:r>
            <w:r w:rsidR="004A3877">
              <w:rPr>
                <w:sz w:val="18"/>
                <w:lang w:val="en"/>
              </w:rPr>
              <w:t>project</w:t>
            </w:r>
            <w:r w:rsidR="00D47CFC">
              <w:rPr>
                <w:sz w:val="18"/>
                <w:lang w:val="en"/>
              </w:rPr>
              <w:t xml:space="preserve"> on the development of a Collaborative Learning Community approach) </w:t>
            </w:r>
            <w:r w:rsidR="00433FE8">
              <w:rPr>
                <w:sz w:val="18"/>
                <w:lang w:val="en"/>
              </w:rPr>
              <w:t xml:space="preserve">organized </w:t>
            </w:r>
            <w:r w:rsidR="00D47CFC">
              <w:rPr>
                <w:sz w:val="18"/>
                <w:lang w:val="en"/>
              </w:rPr>
              <w:t>on</w:t>
            </w:r>
            <w:r w:rsidR="00433FE8">
              <w:rPr>
                <w:sz w:val="18"/>
                <w:lang w:val="en"/>
              </w:rPr>
              <w:t xml:space="preserve"> 5-6 December 2016 at the UCB University of Santa Cruz, in the framework of the international finalizing PPP visit to Bolivia of the Flemish programmme coordinator (24/11-8/12/2016) (see also part 4 below).  </w:t>
            </w:r>
          </w:p>
          <w:p w14:paraId="720607AE" w14:textId="77777777" w:rsidR="00433FE8" w:rsidRDefault="00433FE8" w:rsidP="00355FEC">
            <w:pPr>
              <w:spacing w:after="0" w:line="264" w:lineRule="auto"/>
              <w:rPr>
                <w:sz w:val="18"/>
                <w:lang w:val="en"/>
              </w:rPr>
            </w:pPr>
          </w:p>
          <w:p w14:paraId="4CC4E94D" w14:textId="3F31F618" w:rsidR="00355FEC" w:rsidRPr="00B05215" w:rsidRDefault="00DB7863" w:rsidP="00A32FED">
            <w:pPr>
              <w:spacing w:after="0" w:line="264" w:lineRule="auto"/>
              <w:rPr>
                <w:sz w:val="18"/>
                <w:lang w:val="en-GB"/>
              </w:rPr>
            </w:pPr>
            <w:r w:rsidRPr="00DB7863">
              <w:rPr>
                <w:b/>
                <w:sz w:val="18"/>
                <w:lang w:val="en"/>
              </w:rPr>
              <w:t>Share and transfer of the ownership of the IUC programme</w:t>
            </w:r>
            <w:r>
              <w:rPr>
                <w:sz w:val="18"/>
                <w:lang w:val="en"/>
              </w:rPr>
              <w:t xml:space="preserve">. During the realization of the PP-Programme we learned the importance to carefully and actively consider the sharing and transfering processes of the ownership of the </w:t>
            </w:r>
            <w:r w:rsidR="002212CF">
              <w:rPr>
                <w:sz w:val="18"/>
                <w:lang w:val="en"/>
              </w:rPr>
              <w:t xml:space="preserve">programme. </w:t>
            </w:r>
            <w:r w:rsidR="0055616D">
              <w:rPr>
                <w:sz w:val="18"/>
                <w:lang w:val="en"/>
              </w:rPr>
              <w:t xml:space="preserve">At the start of the Pré-Partner Programme the ownership of the IUC Programme, the development of the regional TLC and the implementation of the CLC-approach was allocated to the local and Flemish programme coordinators and the leaders of the transversal project (P6). National authorities, regional rectors, </w:t>
            </w:r>
            <w:r w:rsidR="00F833C3">
              <w:rPr>
                <w:sz w:val="18"/>
                <w:lang w:val="en"/>
              </w:rPr>
              <w:t xml:space="preserve">theme project leaders and regional members didn’t express responsibility for and ownership of the IUC programme. Regional rectors seem to experience the implementation of the programme in their regional universities as an obligation by the national UCB authorities, doubting about its benefit. The </w:t>
            </w:r>
            <w:r w:rsidR="008D3572">
              <w:rPr>
                <w:sz w:val="18"/>
                <w:lang w:val="en"/>
              </w:rPr>
              <w:t xml:space="preserve">IUC </w:t>
            </w:r>
            <w:r w:rsidR="00F833C3">
              <w:rPr>
                <w:sz w:val="18"/>
                <w:lang w:val="en"/>
              </w:rPr>
              <w:t xml:space="preserve">project leaders </w:t>
            </w:r>
            <w:r w:rsidR="008D3572">
              <w:rPr>
                <w:sz w:val="18"/>
                <w:lang w:val="en"/>
              </w:rPr>
              <w:t xml:space="preserve">mainly owned their theme projects, but </w:t>
            </w:r>
            <w:r w:rsidR="00F833C3">
              <w:rPr>
                <w:sz w:val="18"/>
                <w:lang w:val="en"/>
              </w:rPr>
              <w:t xml:space="preserve"> </w:t>
            </w:r>
            <w:r w:rsidR="008D3572">
              <w:rPr>
                <w:sz w:val="18"/>
                <w:lang w:val="en"/>
              </w:rPr>
              <w:t xml:space="preserve">hardly expressed an affiliation to the programme. These initial attitudes </w:t>
            </w:r>
            <w:r w:rsidR="004008D3">
              <w:rPr>
                <w:sz w:val="18"/>
                <w:lang w:val="en"/>
              </w:rPr>
              <w:t xml:space="preserve">risked to </w:t>
            </w:r>
            <w:r w:rsidR="00FE73E5">
              <w:rPr>
                <w:sz w:val="18"/>
                <w:lang w:val="en"/>
              </w:rPr>
              <w:t xml:space="preserve">undermine the chances to realize the </w:t>
            </w:r>
            <w:r w:rsidR="00757348">
              <w:rPr>
                <w:sz w:val="18"/>
                <w:lang w:val="en"/>
              </w:rPr>
              <w:t xml:space="preserve">transdisciplinary and collaborative objectives of the </w:t>
            </w:r>
            <w:r w:rsidR="00FE73E5">
              <w:rPr>
                <w:sz w:val="18"/>
                <w:lang w:val="en"/>
              </w:rPr>
              <w:t>programme</w:t>
            </w:r>
            <w:r w:rsidR="00757348">
              <w:rPr>
                <w:sz w:val="18"/>
                <w:lang w:val="en"/>
              </w:rPr>
              <w:t>.</w:t>
            </w:r>
            <w:r w:rsidR="0055616D">
              <w:rPr>
                <w:sz w:val="18"/>
                <w:lang w:val="en"/>
              </w:rPr>
              <w:t xml:space="preserve"> </w:t>
            </w:r>
            <w:r w:rsidR="00757348">
              <w:rPr>
                <w:sz w:val="18"/>
                <w:lang w:val="en"/>
              </w:rPr>
              <w:t xml:space="preserve">To counter this initial situation different activities have been organised throughout the realization of the pre-partner programme. First of all, the local coordinator together with the local steering committee intensively supported the national UCB authorities to </w:t>
            </w:r>
            <w:r w:rsidR="00757348" w:rsidRPr="00D168B6">
              <w:rPr>
                <w:rFonts w:asciiTheme="minorHAnsi" w:hAnsiTheme="minorHAnsi"/>
                <w:color w:val="212121"/>
                <w:sz w:val="18"/>
                <w:szCs w:val="18"/>
                <w:lang w:val="en"/>
              </w:rPr>
              <w:t>include</w:t>
            </w:r>
            <w:r w:rsidR="00757348">
              <w:rPr>
                <w:rFonts w:asciiTheme="minorHAnsi" w:hAnsiTheme="minorHAnsi"/>
                <w:color w:val="212121"/>
                <w:sz w:val="18"/>
                <w:szCs w:val="18"/>
                <w:lang w:val="en"/>
              </w:rPr>
              <w:t xml:space="preserve"> </w:t>
            </w:r>
            <w:r w:rsidR="00757348" w:rsidRPr="00D168B6">
              <w:rPr>
                <w:rFonts w:asciiTheme="minorHAnsi" w:hAnsiTheme="minorHAnsi"/>
                <w:color w:val="212121"/>
                <w:sz w:val="18"/>
                <w:szCs w:val="18"/>
                <w:lang w:val="en"/>
              </w:rPr>
              <w:t xml:space="preserve"> </w:t>
            </w:r>
            <w:r w:rsidR="00BD2C0A" w:rsidRPr="00D168B6">
              <w:rPr>
                <w:rFonts w:asciiTheme="minorHAnsi" w:hAnsiTheme="minorHAnsi"/>
                <w:color w:val="212121"/>
                <w:sz w:val="18"/>
                <w:szCs w:val="18"/>
                <w:lang w:val="en"/>
              </w:rPr>
              <w:t xml:space="preserve">the </w:t>
            </w:r>
            <w:r w:rsidR="00BD2C0A">
              <w:rPr>
                <w:rFonts w:asciiTheme="minorHAnsi" w:hAnsiTheme="minorHAnsi"/>
                <w:color w:val="212121"/>
                <w:sz w:val="18"/>
                <w:szCs w:val="18"/>
                <w:lang w:val="en"/>
              </w:rPr>
              <w:t xml:space="preserve">objectives, results and activities </w:t>
            </w:r>
            <w:r w:rsidR="00BD2C0A" w:rsidRPr="00D168B6">
              <w:rPr>
                <w:rFonts w:asciiTheme="minorHAnsi" w:hAnsiTheme="minorHAnsi"/>
                <w:color w:val="212121"/>
                <w:sz w:val="18"/>
                <w:szCs w:val="18"/>
                <w:lang w:val="en"/>
              </w:rPr>
              <w:t xml:space="preserve">of the IUC Programme </w:t>
            </w:r>
            <w:r w:rsidR="00757348" w:rsidRPr="00D168B6">
              <w:rPr>
                <w:rFonts w:asciiTheme="minorHAnsi" w:hAnsiTheme="minorHAnsi"/>
                <w:color w:val="212121"/>
                <w:sz w:val="18"/>
                <w:szCs w:val="18"/>
                <w:lang w:val="en"/>
              </w:rPr>
              <w:t xml:space="preserve">in </w:t>
            </w:r>
            <w:r w:rsidR="00BD2C0A">
              <w:rPr>
                <w:rFonts w:asciiTheme="minorHAnsi" w:hAnsiTheme="minorHAnsi"/>
                <w:color w:val="212121"/>
                <w:sz w:val="18"/>
                <w:szCs w:val="18"/>
                <w:lang w:val="en"/>
              </w:rPr>
              <w:t>the UCB</w:t>
            </w:r>
            <w:r w:rsidR="00757348" w:rsidRPr="00D168B6">
              <w:rPr>
                <w:rFonts w:asciiTheme="minorHAnsi" w:hAnsiTheme="minorHAnsi"/>
                <w:color w:val="212121"/>
                <w:sz w:val="18"/>
                <w:szCs w:val="18"/>
                <w:lang w:val="en"/>
              </w:rPr>
              <w:t xml:space="preserve"> </w:t>
            </w:r>
            <w:r w:rsidR="00757348">
              <w:rPr>
                <w:rFonts w:asciiTheme="minorHAnsi" w:hAnsiTheme="minorHAnsi"/>
                <w:color w:val="212121"/>
                <w:sz w:val="18"/>
                <w:szCs w:val="18"/>
                <w:lang w:val="en"/>
              </w:rPr>
              <w:t xml:space="preserve">national </w:t>
            </w:r>
            <w:r w:rsidR="00757348" w:rsidRPr="00D168B6">
              <w:rPr>
                <w:rFonts w:asciiTheme="minorHAnsi" w:hAnsiTheme="minorHAnsi"/>
                <w:color w:val="212121"/>
                <w:sz w:val="18"/>
                <w:szCs w:val="18"/>
                <w:lang w:val="en"/>
              </w:rPr>
              <w:t>strategic plan</w:t>
            </w:r>
            <w:r w:rsidR="00BD2C0A">
              <w:rPr>
                <w:rFonts w:asciiTheme="minorHAnsi" w:hAnsiTheme="minorHAnsi"/>
                <w:color w:val="212121"/>
                <w:sz w:val="18"/>
                <w:szCs w:val="18"/>
                <w:lang w:val="en"/>
              </w:rPr>
              <w:t xml:space="preserve"> as quality indicators to be reached at each regional UCB university within the next years. </w:t>
            </w:r>
            <w:r w:rsidR="00BD2C0A" w:rsidRPr="00BD2C0A">
              <w:rPr>
                <w:rFonts w:asciiTheme="minorHAnsi" w:hAnsiTheme="minorHAnsi"/>
                <w:color w:val="212121"/>
                <w:sz w:val="18"/>
                <w:szCs w:val="18"/>
                <w:lang w:val="en"/>
              </w:rPr>
              <w:t xml:space="preserve">Next, the </w:t>
            </w:r>
            <w:r w:rsidR="00BD2C0A" w:rsidRPr="00BD2C0A">
              <w:rPr>
                <w:rFonts w:asciiTheme="majorHAnsi" w:hAnsiTheme="majorHAnsi" w:cstheme="majorHAnsi"/>
                <w:color w:val="212121"/>
                <w:sz w:val="18"/>
                <w:szCs w:val="18"/>
                <w:shd w:val="clear" w:color="auto" w:fill="FFFFFF"/>
                <w:lang w:val="en-US"/>
              </w:rPr>
              <w:t>visit to the 4 regional UCB units on 16-25 August 2016 aimed to</w:t>
            </w:r>
            <w:r w:rsidR="00BD2C0A">
              <w:rPr>
                <w:rFonts w:asciiTheme="majorHAnsi" w:hAnsiTheme="majorHAnsi" w:cstheme="majorHAnsi"/>
                <w:b/>
                <w:color w:val="212121"/>
                <w:sz w:val="18"/>
                <w:szCs w:val="18"/>
                <w:shd w:val="clear" w:color="auto" w:fill="FFFFFF"/>
                <w:lang w:val="en-US"/>
              </w:rPr>
              <w:t xml:space="preserve"> </w:t>
            </w:r>
            <w:r w:rsidR="00BD2C0A" w:rsidRPr="00BD2C0A">
              <w:rPr>
                <w:rFonts w:asciiTheme="majorHAnsi" w:hAnsiTheme="majorHAnsi" w:cstheme="majorHAnsi"/>
                <w:color w:val="212121"/>
                <w:sz w:val="18"/>
                <w:szCs w:val="18"/>
                <w:shd w:val="clear" w:color="auto" w:fill="FFFFFF"/>
                <w:lang w:val="en-US"/>
              </w:rPr>
              <w:t>more profoundly</w:t>
            </w:r>
            <w:r w:rsidR="00BD2C0A">
              <w:rPr>
                <w:rFonts w:asciiTheme="majorHAnsi" w:hAnsiTheme="majorHAnsi" w:cstheme="majorHAnsi"/>
                <w:b/>
                <w:color w:val="212121"/>
                <w:sz w:val="18"/>
                <w:szCs w:val="18"/>
                <w:shd w:val="clear" w:color="auto" w:fill="FFFFFF"/>
                <w:lang w:val="en-US"/>
              </w:rPr>
              <w:t xml:space="preserve"> </w:t>
            </w:r>
            <w:r w:rsidR="00BD2C0A" w:rsidRPr="007E1E09">
              <w:rPr>
                <w:rFonts w:asciiTheme="majorHAnsi" w:hAnsiTheme="majorHAnsi" w:cstheme="majorHAnsi"/>
                <w:color w:val="212121"/>
                <w:sz w:val="18"/>
                <w:szCs w:val="18"/>
                <w:shd w:val="clear" w:color="auto" w:fill="FFFFFF"/>
                <w:lang w:val="en-US"/>
              </w:rPr>
              <w:t>inform</w:t>
            </w:r>
            <w:r w:rsidR="00BD2C0A">
              <w:rPr>
                <w:rFonts w:asciiTheme="majorHAnsi" w:hAnsiTheme="majorHAnsi" w:cstheme="majorHAnsi"/>
                <w:color w:val="212121"/>
                <w:sz w:val="18"/>
                <w:szCs w:val="18"/>
                <w:shd w:val="clear" w:color="auto" w:fill="FFFFFF"/>
                <w:lang w:val="en-US"/>
              </w:rPr>
              <w:t xml:space="preserve"> the regional UCB authorities </w:t>
            </w:r>
            <w:r w:rsidR="00BD2C0A" w:rsidRPr="007E1E09">
              <w:rPr>
                <w:rFonts w:asciiTheme="majorHAnsi" w:hAnsiTheme="majorHAnsi" w:cstheme="majorHAnsi"/>
                <w:color w:val="212121"/>
                <w:sz w:val="18"/>
                <w:szCs w:val="18"/>
                <w:shd w:val="clear" w:color="auto" w:fill="FFFFFF"/>
                <w:lang w:val="en-US"/>
              </w:rPr>
              <w:t xml:space="preserve">about the IUC </w:t>
            </w:r>
            <w:proofErr w:type="spellStart"/>
            <w:r w:rsidR="00BD2C0A" w:rsidRPr="007E1E09">
              <w:rPr>
                <w:rFonts w:asciiTheme="majorHAnsi" w:hAnsiTheme="majorHAnsi" w:cstheme="majorHAnsi"/>
                <w:color w:val="212121"/>
                <w:sz w:val="18"/>
                <w:szCs w:val="18"/>
                <w:shd w:val="clear" w:color="auto" w:fill="FFFFFF"/>
                <w:lang w:val="en-US"/>
              </w:rPr>
              <w:t>programme</w:t>
            </w:r>
            <w:proofErr w:type="spellEnd"/>
            <w:r w:rsidR="00BD2C0A" w:rsidRPr="007E1E09">
              <w:rPr>
                <w:rFonts w:asciiTheme="majorHAnsi" w:hAnsiTheme="majorHAnsi" w:cstheme="majorHAnsi"/>
                <w:color w:val="212121"/>
                <w:sz w:val="18"/>
                <w:szCs w:val="18"/>
                <w:shd w:val="clear" w:color="auto" w:fill="FFFFFF"/>
                <w:lang w:val="en-US"/>
              </w:rPr>
              <w:t xml:space="preserve"> and to </w:t>
            </w:r>
            <w:r w:rsidR="00BD2C0A">
              <w:rPr>
                <w:rFonts w:asciiTheme="majorHAnsi" w:hAnsiTheme="majorHAnsi" w:cstheme="majorHAnsi"/>
                <w:color w:val="212121"/>
                <w:sz w:val="18"/>
                <w:szCs w:val="18"/>
                <w:shd w:val="clear" w:color="auto" w:fill="FFFFFF"/>
                <w:lang w:val="en-US"/>
              </w:rPr>
              <w:t xml:space="preserve">present </w:t>
            </w:r>
            <w:r w:rsidR="00BD2C0A" w:rsidRPr="007E1E09">
              <w:rPr>
                <w:rFonts w:asciiTheme="majorHAnsi" w:hAnsiTheme="majorHAnsi" w:cstheme="majorHAnsi"/>
                <w:color w:val="212121"/>
                <w:sz w:val="18"/>
                <w:szCs w:val="18"/>
                <w:shd w:val="clear" w:color="auto" w:fill="FFFFFF"/>
                <w:lang w:val="en-US"/>
              </w:rPr>
              <w:t xml:space="preserve">it as a tool to be used for enhancing </w:t>
            </w:r>
            <w:r w:rsidR="00BD2C0A">
              <w:rPr>
                <w:rFonts w:asciiTheme="majorHAnsi" w:hAnsiTheme="majorHAnsi" w:cstheme="majorHAnsi"/>
                <w:color w:val="212121"/>
                <w:sz w:val="18"/>
                <w:szCs w:val="18"/>
                <w:shd w:val="clear" w:color="auto" w:fill="FFFFFF"/>
                <w:lang w:val="en-US"/>
              </w:rPr>
              <w:t xml:space="preserve">their </w:t>
            </w:r>
            <w:r w:rsidR="00BD2C0A" w:rsidRPr="007E1E09">
              <w:rPr>
                <w:rFonts w:asciiTheme="majorHAnsi" w:hAnsiTheme="majorHAnsi" w:cstheme="majorHAnsi"/>
                <w:color w:val="212121"/>
                <w:sz w:val="18"/>
                <w:szCs w:val="18"/>
                <w:shd w:val="clear" w:color="auto" w:fill="FFFFFF"/>
                <w:lang w:val="en-US"/>
              </w:rPr>
              <w:t xml:space="preserve">regional training and research capacity according to the expectations of the </w:t>
            </w:r>
            <w:r w:rsidR="00BD2C0A">
              <w:rPr>
                <w:rFonts w:asciiTheme="majorHAnsi" w:hAnsiTheme="majorHAnsi" w:cstheme="majorHAnsi"/>
                <w:color w:val="212121"/>
                <w:sz w:val="18"/>
                <w:szCs w:val="18"/>
                <w:shd w:val="clear" w:color="auto" w:fill="FFFFFF"/>
                <w:lang w:val="en-US"/>
              </w:rPr>
              <w:t>national</w:t>
            </w:r>
            <w:r w:rsidR="00BD2C0A" w:rsidRPr="007E1E09">
              <w:rPr>
                <w:rFonts w:asciiTheme="majorHAnsi" w:hAnsiTheme="majorHAnsi" w:cstheme="majorHAnsi"/>
                <w:color w:val="212121"/>
                <w:sz w:val="18"/>
                <w:szCs w:val="18"/>
                <w:shd w:val="clear" w:color="auto" w:fill="FFFFFF"/>
                <w:lang w:val="en-US"/>
              </w:rPr>
              <w:t xml:space="preserve"> strategic plan. All regional rectors expressed their commitment to be engaged in the IUC </w:t>
            </w:r>
            <w:proofErr w:type="spellStart"/>
            <w:r w:rsidR="00BD2C0A" w:rsidRPr="007E1E09">
              <w:rPr>
                <w:rFonts w:asciiTheme="majorHAnsi" w:hAnsiTheme="majorHAnsi" w:cstheme="majorHAnsi"/>
                <w:color w:val="212121"/>
                <w:sz w:val="18"/>
                <w:szCs w:val="18"/>
                <w:shd w:val="clear" w:color="auto" w:fill="FFFFFF"/>
                <w:lang w:val="en-US"/>
              </w:rPr>
              <w:t>programme</w:t>
            </w:r>
            <w:proofErr w:type="spellEnd"/>
            <w:r w:rsidR="00BD2C0A">
              <w:rPr>
                <w:rFonts w:asciiTheme="majorHAnsi" w:hAnsiTheme="majorHAnsi" w:cstheme="majorHAnsi"/>
                <w:color w:val="212121"/>
                <w:sz w:val="18"/>
                <w:szCs w:val="18"/>
                <w:shd w:val="clear" w:color="auto" w:fill="FFFFFF"/>
                <w:lang w:val="en-US"/>
              </w:rPr>
              <w:t xml:space="preserve">, willing to take responsibility </w:t>
            </w:r>
            <w:r w:rsidR="00BD2C0A" w:rsidRPr="007E1E09">
              <w:rPr>
                <w:rFonts w:asciiTheme="majorHAnsi" w:hAnsiTheme="majorHAnsi" w:cstheme="majorHAnsi"/>
                <w:color w:val="212121"/>
                <w:sz w:val="18"/>
                <w:szCs w:val="18"/>
                <w:shd w:val="clear" w:color="auto" w:fill="FFFFFF"/>
                <w:lang w:val="en-US"/>
              </w:rPr>
              <w:t xml:space="preserve">and </w:t>
            </w:r>
            <w:r w:rsidR="007F78A8">
              <w:rPr>
                <w:rFonts w:asciiTheme="majorHAnsi" w:hAnsiTheme="majorHAnsi" w:cstheme="majorHAnsi"/>
                <w:color w:val="212121"/>
                <w:sz w:val="18"/>
                <w:szCs w:val="18"/>
                <w:shd w:val="clear" w:color="auto" w:fill="FFFFFF"/>
                <w:lang w:val="en-US"/>
              </w:rPr>
              <w:t xml:space="preserve">ownership. Furthermore, the </w:t>
            </w:r>
            <w:r w:rsidR="007F78A8">
              <w:rPr>
                <w:sz w:val="18"/>
                <w:lang w:val="en"/>
              </w:rPr>
              <w:t xml:space="preserve">P6 workshop organized on 5-6 December 2016 at the UCB University of Santa Cruz mobilized the national and regional leaders of the transfersal IUC project to take their responsibility to build out the regional </w:t>
            </w:r>
            <w:r w:rsidR="007F78A8">
              <w:rPr>
                <w:sz w:val="18"/>
                <w:lang w:val="en"/>
              </w:rPr>
              <w:lastRenderedPageBreak/>
              <w:t xml:space="preserve">TLC teams, and to train regional TLC members in transdiciplinary and collaborative philosophy and practice. The key-responsibility of the regional TLC coordinators was strongly emphazised and validated, and </w:t>
            </w:r>
            <w:r w:rsidR="00350540">
              <w:rPr>
                <w:sz w:val="18"/>
                <w:lang w:val="en"/>
              </w:rPr>
              <w:t>a detailed activity plan to install the TLC approach in all regional UCB units was designed and submitted to be discussed by the Local and Flemish Steering Commitees (</w:t>
            </w:r>
            <w:r w:rsidR="00350540" w:rsidRPr="000F00C2">
              <w:rPr>
                <w:sz w:val="18"/>
                <w:lang w:val="en"/>
              </w:rPr>
              <w:t>see annex 2).</w:t>
            </w:r>
            <w:r w:rsidR="00350540">
              <w:rPr>
                <w:sz w:val="18"/>
                <w:lang w:val="en"/>
              </w:rPr>
              <w:t xml:space="preserve"> Also, a proposal to expand the Local (LSC) and Joint Steering Committee (JSC) with the membership of the 4 regional TLC coordinators was put on the agenda of the next JSC on 10 February 2017.</w:t>
            </w:r>
          </w:p>
        </w:tc>
      </w:tr>
    </w:tbl>
    <w:p w14:paraId="0FD29FCE" w14:textId="77777777" w:rsidR="00F87B18" w:rsidRDefault="00F87B18" w:rsidP="00CD0BCD">
      <w:pPr>
        <w:rPr>
          <w:lang w:val="en-GB"/>
        </w:rPr>
      </w:pPr>
    </w:p>
    <w:p w14:paraId="15BACEF6" w14:textId="2F8985F6" w:rsidR="001E54B6" w:rsidRPr="001E54B6" w:rsidRDefault="001E54B6" w:rsidP="001E54B6">
      <w:pPr>
        <w:pStyle w:val="ListParagraph"/>
        <w:numPr>
          <w:ilvl w:val="0"/>
          <w:numId w:val="0"/>
        </w:numPr>
        <w:ind w:left="284"/>
        <w:rPr>
          <w:rFonts w:eastAsiaTheme="majorEastAsia"/>
          <w:b/>
          <w:bCs/>
          <w:sz w:val="28"/>
          <w:szCs w:val="28"/>
        </w:rPr>
      </w:pPr>
      <w:r>
        <w:rPr>
          <w:rFonts w:eastAsiaTheme="majorEastAsia"/>
          <w:b/>
          <w:bCs/>
          <w:sz w:val="28"/>
          <w:szCs w:val="28"/>
        </w:rPr>
        <w:t xml:space="preserve">4. </w:t>
      </w:r>
      <w:r w:rsidRPr="001E54B6">
        <w:rPr>
          <w:rFonts w:eastAsiaTheme="majorEastAsia"/>
          <w:b/>
          <w:bCs/>
          <w:sz w:val="28"/>
          <w:szCs w:val="28"/>
        </w:rPr>
        <w:t>Main activities of the activity year</w:t>
      </w:r>
    </w:p>
    <w:tbl>
      <w:tblPr>
        <w:tblStyle w:val="TableGrid"/>
        <w:tblW w:w="0" w:type="auto"/>
        <w:tblLayout w:type="fixed"/>
        <w:tblCellMar>
          <w:top w:w="57" w:type="dxa"/>
        </w:tblCellMar>
        <w:tblLook w:val="04A0" w:firstRow="1" w:lastRow="0" w:firstColumn="1" w:lastColumn="0" w:noHBand="0" w:noVBand="1"/>
      </w:tblPr>
      <w:tblGrid>
        <w:gridCol w:w="9212"/>
      </w:tblGrid>
      <w:tr w:rsidR="004560CC" w:rsidRPr="0071757C" w14:paraId="13318603" w14:textId="77777777" w:rsidTr="006B3B5C">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0118102F" w14:textId="77777777" w:rsidR="004560CC" w:rsidRPr="00B05215" w:rsidRDefault="00482FF6" w:rsidP="00482FF6">
            <w:pPr>
              <w:spacing w:after="0"/>
              <w:rPr>
                <w:lang w:val="en-GB"/>
              </w:rPr>
            </w:pPr>
            <w:r>
              <w:rPr>
                <w:lang w:val="en-GB"/>
              </w:rPr>
              <w:t xml:space="preserve">Formulation mission activities and IUC preparation (PSU support </w:t>
            </w:r>
            <w:proofErr w:type="gramStart"/>
            <w:r>
              <w:rPr>
                <w:lang w:val="en-GB"/>
              </w:rPr>
              <w:t>structure, ..</w:t>
            </w:r>
            <w:proofErr w:type="gramEnd"/>
            <w:r>
              <w:rPr>
                <w:lang w:val="en-GB"/>
              </w:rPr>
              <w:t>)</w:t>
            </w:r>
          </w:p>
        </w:tc>
      </w:tr>
      <w:tr w:rsidR="004560CC" w:rsidRPr="00114B17" w14:paraId="09F1671D" w14:textId="77777777" w:rsidTr="006B3B5C">
        <w:tc>
          <w:tcPr>
            <w:tcW w:w="9212" w:type="dxa"/>
            <w:tcBorders>
              <w:top w:val="single" w:sz="4" w:space="0" w:color="9FA585"/>
              <w:left w:val="single" w:sz="4" w:space="0" w:color="9FA585"/>
              <w:bottom w:val="single" w:sz="4" w:space="0" w:color="9FA585"/>
              <w:right w:val="single" w:sz="4" w:space="0" w:color="9FA585"/>
            </w:tcBorders>
          </w:tcPr>
          <w:p w14:paraId="6B8DB93E" w14:textId="57C02F69" w:rsidR="00D363D2" w:rsidRDefault="00D363D2" w:rsidP="00DB7863">
            <w:pPr>
              <w:pStyle w:val="HTMLPreformatted"/>
              <w:spacing w:line="264" w:lineRule="auto"/>
              <w:jc w:val="both"/>
              <w:rPr>
                <w:rFonts w:asciiTheme="majorHAnsi" w:hAnsiTheme="majorHAnsi" w:cstheme="majorHAnsi"/>
                <w:color w:val="212121"/>
                <w:sz w:val="18"/>
                <w:szCs w:val="18"/>
                <w:shd w:val="clear" w:color="auto" w:fill="FFFFFF"/>
                <w:lang w:val="en-US"/>
              </w:rPr>
            </w:pPr>
            <w:r w:rsidRPr="00D363D2">
              <w:rPr>
                <w:rFonts w:asciiTheme="majorHAnsi" w:hAnsiTheme="majorHAnsi" w:cstheme="majorHAnsi"/>
                <w:color w:val="212121"/>
                <w:sz w:val="18"/>
                <w:szCs w:val="18"/>
                <w:shd w:val="clear" w:color="auto" w:fill="FFFFFF"/>
                <w:lang w:val="en"/>
              </w:rPr>
              <w:t xml:space="preserve">During the second part of 2016 (May-December), next main activities were carried out to reach the aforementioned objectives of the Pre-Partner Programme: </w:t>
            </w:r>
            <w:r>
              <w:rPr>
                <w:rFonts w:asciiTheme="majorHAnsi" w:hAnsiTheme="majorHAnsi" w:cstheme="majorHAnsi"/>
                <w:color w:val="212121"/>
                <w:sz w:val="18"/>
                <w:szCs w:val="18"/>
                <w:shd w:val="clear" w:color="auto" w:fill="FFFFFF"/>
                <w:lang w:val="en"/>
              </w:rPr>
              <w:t>(1) Submission and approv</w:t>
            </w:r>
            <w:r w:rsidR="00EB4224">
              <w:rPr>
                <w:rFonts w:asciiTheme="majorHAnsi" w:hAnsiTheme="majorHAnsi" w:cstheme="majorHAnsi"/>
                <w:color w:val="212121"/>
                <w:sz w:val="18"/>
                <w:szCs w:val="18"/>
                <w:shd w:val="clear" w:color="auto" w:fill="FFFFFF"/>
                <w:lang w:val="en"/>
              </w:rPr>
              <w:t>al</w:t>
            </w:r>
            <w:r>
              <w:rPr>
                <w:rFonts w:asciiTheme="majorHAnsi" w:hAnsiTheme="majorHAnsi" w:cstheme="majorHAnsi"/>
                <w:color w:val="212121"/>
                <w:sz w:val="18"/>
                <w:szCs w:val="18"/>
                <w:shd w:val="clear" w:color="auto" w:fill="FFFFFF"/>
                <w:lang w:val="en"/>
              </w:rPr>
              <w:t xml:space="preserve"> of the IUC p</w:t>
            </w:r>
            <w:r w:rsidR="00EB4224">
              <w:rPr>
                <w:rFonts w:asciiTheme="majorHAnsi" w:hAnsiTheme="majorHAnsi" w:cstheme="majorHAnsi"/>
                <w:color w:val="212121"/>
                <w:sz w:val="18"/>
                <w:szCs w:val="18"/>
                <w:shd w:val="clear" w:color="auto" w:fill="FFFFFF"/>
                <w:lang w:val="en"/>
              </w:rPr>
              <w:t>r</w:t>
            </w:r>
            <w:r>
              <w:rPr>
                <w:rFonts w:asciiTheme="majorHAnsi" w:hAnsiTheme="majorHAnsi" w:cstheme="majorHAnsi"/>
                <w:color w:val="212121"/>
                <w:sz w:val="18"/>
                <w:szCs w:val="18"/>
                <w:shd w:val="clear" w:color="auto" w:fill="FFFFFF"/>
                <w:lang w:val="en"/>
              </w:rPr>
              <w:t xml:space="preserve">ogramme and its projects; </w:t>
            </w:r>
            <w:r w:rsidR="006F42B3">
              <w:rPr>
                <w:rFonts w:asciiTheme="majorHAnsi" w:hAnsiTheme="majorHAnsi" w:cstheme="majorHAnsi"/>
                <w:color w:val="212121"/>
                <w:sz w:val="18"/>
                <w:szCs w:val="18"/>
                <w:shd w:val="clear" w:color="auto" w:fill="FFFFFF"/>
                <w:lang w:val="en-US"/>
              </w:rPr>
              <w:t>(2</w:t>
            </w:r>
            <w:r>
              <w:rPr>
                <w:rFonts w:asciiTheme="majorHAnsi" w:hAnsiTheme="majorHAnsi" w:cstheme="majorHAnsi"/>
                <w:color w:val="212121"/>
                <w:sz w:val="18"/>
                <w:szCs w:val="18"/>
                <w:shd w:val="clear" w:color="auto" w:fill="FFFFFF"/>
                <w:lang w:val="en-US"/>
              </w:rPr>
              <w:t xml:space="preserve">) </w:t>
            </w:r>
            <w:r w:rsidRPr="00CE3A66">
              <w:rPr>
                <w:rFonts w:asciiTheme="majorHAnsi" w:hAnsiTheme="majorHAnsi" w:cstheme="majorHAnsi"/>
                <w:color w:val="212121"/>
                <w:sz w:val="18"/>
                <w:szCs w:val="18"/>
                <w:shd w:val="clear" w:color="auto" w:fill="FFFFFF"/>
                <w:lang w:val="en-US"/>
              </w:rPr>
              <w:t>the establishment of the regional TLC teams</w:t>
            </w:r>
            <w:r w:rsidR="006F42B3">
              <w:rPr>
                <w:rFonts w:asciiTheme="majorHAnsi" w:hAnsiTheme="majorHAnsi" w:cstheme="majorHAnsi"/>
                <w:color w:val="212121"/>
                <w:sz w:val="18"/>
                <w:szCs w:val="18"/>
                <w:shd w:val="clear" w:color="auto" w:fill="FFFFFF"/>
                <w:lang w:val="en-US"/>
              </w:rPr>
              <w:t xml:space="preserve"> and networks</w:t>
            </w:r>
            <w:r w:rsidRPr="00CE3A66">
              <w:rPr>
                <w:rFonts w:asciiTheme="majorHAnsi" w:hAnsiTheme="majorHAnsi" w:cstheme="majorHAnsi"/>
                <w:color w:val="212121"/>
                <w:sz w:val="18"/>
                <w:szCs w:val="18"/>
                <w:shd w:val="clear" w:color="auto" w:fill="FFFFFF"/>
                <w:lang w:val="en-US"/>
              </w:rPr>
              <w:t xml:space="preserve">; </w:t>
            </w:r>
            <w:r w:rsidR="006F42B3">
              <w:rPr>
                <w:rFonts w:asciiTheme="majorHAnsi" w:hAnsiTheme="majorHAnsi" w:cstheme="majorHAnsi"/>
                <w:color w:val="212121"/>
                <w:sz w:val="18"/>
                <w:szCs w:val="18"/>
                <w:shd w:val="clear" w:color="auto" w:fill="FFFFFF"/>
                <w:lang w:val="en"/>
              </w:rPr>
              <w:t xml:space="preserve">(3) </w:t>
            </w:r>
            <w:r w:rsidR="006F42B3" w:rsidRPr="00CE3A66">
              <w:rPr>
                <w:rFonts w:asciiTheme="majorHAnsi" w:hAnsiTheme="majorHAnsi" w:cstheme="majorHAnsi"/>
                <w:color w:val="212121"/>
                <w:sz w:val="18"/>
                <w:szCs w:val="18"/>
                <w:shd w:val="clear" w:color="auto" w:fill="FFFFFF"/>
                <w:lang w:val="en-US"/>
              </w:rPr>
              <w:t xml:space="preserve">the implementation of the PSU on national and regional levels; </w:t>
            </w:r>
            <w:r w:rsidRPr="00CE3A66">
              <w:rPr>
                <w:rFonts w:asciiTheme="majorHAnsi" w:hAnsiTheme="majorHAnsi" w:cstheme="majorHAnsi"/>
                <w:color w:val="212121"/>
                <w:sz w:val="18"/>
                <w:szCs w:val="18"/>
                <w:shd w:val="clear" w:color="auto" w:fill="FFFFFF"/>
                <w:lang w:val="en-US"/>
              </w:rPr>
              <w:t xml:space="preserve">and </w:t>
            </w:r>
            <w:r>
              <w:rPr>
                <w:rFonts w:asciiTheme="majorHAnsi" w:hAnsiTheme="majorHAnsi" w:cstheme="majorHAnsi"/>
                <w:color w:val="212121"/>
                <w:sz w:val="18"/>
                <w:szCs w:val="18"/>
                <w:shd w:val="clear" w:color="auto" w:fill="FFFFFF"/>
                <w:lang w:val="en-US"/>
              </w:rPr>
              <w:t xml:space="preserve">(4) </w:t>
            </w:r>
            <w:r w:rsidRPr="00CE3A66">
              <w:rPr>
                <w:rFonts w:asciiTheme="majorHAnsi" w:hAnsiTheme="majorHAnsi" w:cstheme="majorHAnsi"/>
                <w:color w:val="212121"/>
                <w:sz w:val="18"/>
                <w:szCs w:val="18"/>
                <w:shd w:val="clear" w:color="auto" w:fill="FFFFFF"/>
                <w:lang w:val="en-US"/>
              </w:rPr>
              <w:t xml:space="preserve">the management of strategic </w:t>
            </w:r>
            <w:r w:rsidR="006F42B3">
              <w:rPr>
                <w:rFonts w:asciiTheme="majorHAnsi" w:hAnsiTheme="majorHAnsi" w:cstheme="majorHAnsi"/>
                <w:color w:val="212121"/>
                <w:sz w:val="18"/>
                <w:szCs w:val="18"/>
                <w:shd w:val="clear" w:color="auto" w:fill="FFFFFF"/>
                <w:lang w:val="en-US"/>
              </w:rPr>
              <w:t xml:space="preserve">stakeholder </w:t>
            </w:r>
            <w:r w:rsidRPr="00CE3A66">
              <w:rPr>
                <w:rFonts w:asciiTheme="majorHAnsi" w:hAnsiTheme="majorHAnsi" w:cstheme="majorHAnsi"/>
                <w:color w:val="212121"/>
                <w:sz w:val="18"/>
                <w:szCs w:val="18"/>
                <w:shd w:val="clear" w:color="auto" w:fill="FFFFFF"/>
                <w:lang w:val="en-US"/>
              </w:rPr>
              <w:t>alliances on national and regional levels</w:t>
            </w:r>
            <w:r w:rsidR="00EC1398">
              <w:rPr>
                <w:rFonts w:asciiTheme="majorHAnsi" w:hAnsiTheme="majorHAnsi" w:cstheme="majorHAnsi"/>
                <w:color w:val="212121"/>
                <w:sz w:val="18"/>
                <w:szCs w:val="18"/>
                <w:shd w:val="clear" w:color="auto" w:fill="FFFFFF"/>
                <w:lang w:val="en-US"/>
              </w:rPr>
              <w:t>.</w:t>
            </w:r>
          </w:p>
          <w:p w14:paraId="5006649B" w14:textId="204E7051" w:rsidR="00EC1398" w:rsidRPr="00D363D2" w:rsidRDefault="00EC1398" w:rsidP="00DB7863">
            <w:pPr>
              <w:pStyle w:val="HTMLPreformatted"/>
              <w:spacing w:line="264" w:lineRule="auto"/>
              <w:jc w:val="both"/>
              <w:rPr>
                <w:rFonts w:asciiTheme="majorHAnsi" w:hAnsiTheme="majorHAnsi" w:cstheme="majorHAnsi"/>
                <w:color w:val="212121"/>
                <w:sz w:val="18"/>
                <w:szCs w:val="18"/>
                <w:shd w:val="clear" w:color="auto" w:fill="FFFFFF"/>
                <w:lang w:val="en"/>
              </w:rPr>
            </w:pPr>
          </w:p>
          <w:p w14:paraId="5E1225C2" w14:textId="686244A2" w:rsidR="00D363D2" w:rsidRPr="00FE14FA" w:rsidRDefault="00D363D2" w:rsidP="00DB7863">
            <w:pPr>
              <w:pStyle w:val="HTMLPreformatted"/>
              <w:shd w:val="clear" w:color="auto" w:fill="FFFFFF"/>
              <w:spacing w:line="264" w:lineRule="auto"/>
              <w:jc w:val="both"/>
              <w:rPr>
                <w:rFonts w:asciiTheme="majorHAnsi" w:hAnsiTheme="majorHAnsi" w:cstheme="majorHAnsi"/>
                <w:color w:val="212121"/>
                <w:sz w:val="18"/>
                <w:szCs w:val="18"/>
                <w:shd w:val="clear" w:color="auto" w:fill="FFFFFF"/>
                <w:lang w:val="en-US"/>
              </w:rPr>
            </w:pPr>
            <w:r w:rsidRPr="00D363D2">
              <w:rPr>
                <w:rFonts w:asciiTheme="majorHAnsi" w:hAnsiTheme="majorHAnsi" w:cstheme="majorHAnsi"/>
                <w:color w:val="212121"/>
                <w:sz w:val="18"/>
                <w:szCs w:val="18"/>
                <w:shd w:val="clear" w:color="auto" w:fill="FFFFFF"/>
                <w:lang w:val="en"/>
              </w:rPr>
              <w:t xml:space="preserve">(1) </w:t>
            </w:r>
            <w:r w:rsidRPr="00D363D2">
              <w:rPr>
                <w:rFonts w:asciiTheme="majorHAnsi" w:hAnsiTheme="majorHAnsi" w:cstheme="majorHAnsi"/>
                <w:b/>
                <w:color w:val="212121"/>
                <w:sz w:val="18"/>
                <w:szCs w:val="18"/>
                <w:shd w:val="clear" w:color="auto" w:fill="FFFFFF"/>
                <w:lang w:val="en"/>
              </w:rPr>
              <w:t>Submission and approv</w:t>
            </w:r>
            <w:r w:rsidR="00840258">
              <w:rPr>
                <w:rFonts w:asciiTheme="majorHAnsi" w:hAnsiTheme="majorHAnsi" w:cstheme="majorHAnsi"/>
                <w:b/>
                <w:color w:val="212121"/>
                <w:sz w:val="18"/>
                <w:szCs w:val="18"/>
                <w:shd w:val="clear" w:color="auto" w:fill="FFFFFF"/>
                <w:lang w:val="en"/>
              </w:rPr>
              <w:t xml:space="preserve">al </w:t>
            </w:r>
            <w:r w:rsidRPr="00D363D2">
              <w:rPr>
                <w:rFonts w:asciiTheme="majorHAnsi" w:hAnsiTheme="majorHAnsi" w:cstheme="majorHAnsi"/>
                <w:b/>
                <w:color w:val="212121"/>
                <w:sz w:val="18"/>
                <w:szCs w:val="18"/>
                <w:shd w:val="clear" w:color="auto" w:fill="FFFFFF"/>
                <w:lang w:val="en"/>
              </w:rPr>
              <w:t>of the IUC programme proposal</w:t>
            </w:r>
            <w:r w:rsidRPr="00D363D2">
              <w:rPr>
                <w:rFonts w:asciiTheme="majorHAnsi" w:hAnsiTheme="majorHAnsi" w:cstheme="majorHAnsi"/>
                <w:color w:val="212121"/>
                <w:sz w:val="18"/>
                <w:szCs w:val="18"/>
                <w:shd w:val="clear" w:color="auto" w:fill="FFFFFF"/>
                <w:lang w:val="en"/>
              </w:rPr>
              <w:t xml:space="preserve">. </w:t>
            </w:r>
            <w:r w:rsidRPr="00FE14FA">
              <w:rPr>
                <w:rFonts w:asciiTheme="majorHAnsi" w:hAnsiTheme="majorHAnsi" w:cstheme="majorHAnsi"/>
                <w:color w:val="212121"/>
                <w:sz w:val="18"/>
                <w:szCs w:val="18"/>
                <w:shd w:val="clear" w:color="auto" w:fill="FFFFFF"/>
                <w:lang w:val="en-US"/>
              </w:rPr>
              <w:t xml:space="preserve">As mentioned </w:t>
            </w:r>
            <w:r>
              <w:rPr>
                <w:rFonts w:asciiTheme="majorHAnsi" w:hAnsiTheme="majorHAnsi" w:cstheme="majorHAnsi"/>
                <w:color w:val="212121"/>
                <w:sz w:val="18"/>
                <w:szCs w:val="18"/>
                <w:shd w:val="clear" w:color="auto" w:fill="FFFFFF"/>
                <w:lang w:val="en-US"/>
              </w:rPr>
              <w:t>earlier</w:t>
            </w:r>
            <w:r w:rsidRPr="00FE14FA">
              <w:rPr>
                <w:rFonts w:asciiTheme="majorHAnsi" w:hAnsiTheme="majorHAnsi" w:cstheme="majorHAnsi"/>
                <w:color w:val="212121"/>
                <w:sz w:val="18"/>
                <w:szCs w:val="18"/>
                <w:shd w:val="clear" w:color="auto" w:fill="FFFFFF"/>
                <w:lang w:val="en-US"/>
              </w:rPr>
              <w:t xml:space="preserve">, the main activities of AP 2015 focused on the preparation and organization of the </w:t>
            </w:r>
            <w:proofErr w:type="spellStart"/>
            <w:r w:rsidRPr="00FE14FA">
              <w:rPr>
                <w:rFonts w:asciiTheme="majorHAnsi" w:hAnsiTheme="majorHAnsi" w:cstheme="majorHAnsi"/>
                <w:color w:val="212121"/>
                <w:sz w:val="18"/>
                <w:szCs w:val="18"/>
                <w:shd w:val="clear" w:color="auto" w:fill="FFFFFF"/>
                <w:lang w:val="en-US"/>
              </w:rPr>
              <w:t>programme</w:t>
            </w:r>
            <w:proofErr w:type="spellEnd"/>
            <w:r w:rsidRPr="00FE14FA">
              <w:rPr>
                <w:rFonts w:asciiTheme="majorHAnsi" w:hAnsiTheme="majorHAnsi" w:cstheme="majorHAnsi"/>
                <w:color w:val="212121"/>
                <w:sz w:val="18"/>
                <w:szCs w:val="18"/>
                <w:shd w:val="clear" w:color="auto" w:fill="FFFFFF"/>
                <w:lang w:val="en-US"/>
              </w:rPr>
              <w:t xml:space="preserve"> formulation, including workshops to define the </w:t>
            </w:r>
            <w:r>
              <w:rPr>
                <w:rFonts w:asciiTheme="majorHAnsi" w:hAnsiTheme="majorHAnsi" w:cstheme="majorHAnsi"/>
                <w:color w:val="212121"/>
                <w:sz w:val="18"/>
                <w:szCs w:val="18"/>
                <w:shd w:val="clear" w:color="auto" w:fill="FFFFFF"/>
                <w:lang w:val="en-US"/>
              </w:rPr>
              <w:t xml:space="preserve">different </w:t>
            </w:r>
            <w:r w:rsidRPr="00FE14FA">
              <w:rPr>
                <w:rFonts w:asciiTheme="majorHAnsi" w:hAnsiTheme="majorHAnsi" w:cstheme="majorHAnsi"/>
                <w:color w:val="212121"/>
                <w:sz w:val="18"/>
                <w:szCs w:val="18"/>
                <w:shd w:val="clear" w:color="auto" w:fill="FFFFFF"/>
                <w:lang w:val="en-US"/>
              </w:rPr>
              <w:t>theme projects, establishing the national and regional academic teams, and organizing the mission of the Flemish academic partners to participate at the joint PCM workshops (4-8 April 2016).</w:t>
            </w:r>
            <w:r>
              <w:rPr>
                <w:rFonts w:asciiTheme="majorHAnsi" w:hAnsiTheme="majorHAnsi" w:cstheme="majorHAnsi"/>
                <w:color w:val="212121"/>
                <w:sz w:val="18"/>
                <w:szCs w:val="18"/>
                <w:shd w:val="clear" w:color="auto" w:fill="FFFFFF"/>
                <w:lang w:val="en-US"/>
              </w:rPr>
              <w:t xml:space="preserve"> The joint PCM workshop resulted in the IUC </w:t>
            </w:r>
            <w:proofErr w:type="spellStart"/>
            <w:r>
              <w:rPr>
                <w:rFonts w:asciiTheme="majorHAnsi" w:hAnsiTheme="majorHAnsi" w:cstheme="majorHAnsi"/>
                <w:color w:val="212121"/>
                <w:sz w:val="18"/>
                <w:szCs w:val="18"/>
                <w:shd w:val="clear" w:color="auto" w:fill="FFFFFF"/>
                <w:lang w:val="en-US"/>
              </w:rPr>
              <w:t>programme</w:t>
            </w:r>
            <w:proofErr w:type="spellEnd"/>
            <w:r>
              <w:rPr>
                <w:rFonts w:asciiTheme="majorHAnsi" w:hAnsiTheme="majorHAnsi" w:cstheme="majorHAnsi"/>
                <w:color w:val="212121"/>
                <w:sz w:val="18"/>
                <w:szCs w:val="18"/>
                <w:shd w:val="clear" w:color="auto" w:fill="FFFFFF"/>
                <w:lang w:val="en-US"/>
              </w:rPr>
              <w:t xml:space="preserve"> proposal</w:t>
            </w:r>
            <w:r w:rsidR="003B0B44">
              <w:rPr>
                <w:rFonts w:asciiTheme="majorHAnsi" w:hAnsiTheme="majorHAnsi" w:cstheme="majorHAnsi"/>
                <w:color w:val="212121"/>
                <w:sz w:val="18"/>
                <w:szCs w:val="18"/>
                <w:shd w:val="clear" w:color="auto" w:fill="FFFFFF"/>
                <w:lang w:val="en-US"/>
              </w:rPr>
              <w:t xml:space="preserve"> phase I 2017-2021</w:t>
            </w:r>
            <w:r>
              <w:rPr>
                <w:rFonts w:asciiTheme="majorHAnsi" w:hAnsiTheme="majorHAnsi" w:cstheme="majorHAnsi"/>
                <w:color w:val="212121"/>
                <w:sz w:val="18"/>
                <w:szCs w:val="18"/>
                <w:shd w:val="clear" w:color="auto" w:fill="FFFFFF"/>
                <w:lang w:val="en-US"/>
              </w:rPr>
              <w:t xml:space="preserve">, that was submitted </w:t>
            </w:r>
            <w:r w:rsidR="003B0B44">
              <w:rPr>
                <w:rFonts w:asciiTheme="majorHAnsi" w:hAnsiTheme="majorHAnsi" w:cstheme="majorHAnsi"/>
                <w:color w:val="212121"/>
                <w:sz w:val="18"/>
                <w:szCs w:val="18"/>
                <w:shd w:val="clear" w:color="auto" w:fill="FFFFFF"/>
                <w:lang w:val="en-US"/>
              </w:rPr>
              <w:t xml:space="preserve">to VLIR-UOS </w:t>
            </w:r>
            <w:r>
              <w:rPr>
                <w:rFonts w:asciiTheme="majorHAnsi" w:hAnsiTheme="majorHAnsi" w:cstheme="majorHAnsi"/>
                <w:color w:val="212121"/>
                <w:sz w:val="18"/>
                <w:szCs w:val="18"/>
                <w:shd w:val="clear" w:color="auto" w:fill="FFFFFF"/>
                <w:lang w:val="en-US"/>
              </w:rPr>
              <w:t xml:space="preserve">on </w:t>
            </w:r>
          </w:p>
          <w:p w14:paraId="370864C1" w14:textId="224412E1" w:rsidR="00D363D2" w:rsidRDefault="00E20680" w:rsidP="00DB7863">
            <w:pPr>
              <w:pStyle w:val="HTMLPreformatted"/>
              <w:spacing w:line="264" w:lineRule="auto"/>
              <w:jc w:val="both"/>
              <w:rPr>
                <w:rFonts w:asciiTheme="majorHAnsi" w:hAnsiTheme="majorHAnsi" w:cstheme="majorHAnsi"/>
                <w:color w:val="212121"/>
                <w:sz w:val="18"/>
                <w:szCs w:val="18"/>
                <w:shd w:val="clear" w:color="auto" w:fill="FFFFFF"/>
                <w:lang w:val="en"/>
              </w:rPr>
            </w:pPr>
            <w:r>
              <w:rPr>
                <w:rFonts w:asciiTheme="majorHAnsi" w:hAnsiTheme="majorHAnsi" w:cstheme="majorHAnsi"/>
                <w:color w:val="212121"/>
                <w:sz w:val="18"/>
                <w:szCs w:val="18"/>
                <w:shd w:val="clear" w:color="auto" w:fill="FFFFFF"/>
                <w:lang w:val="en"/>
              </w:rPr>
              <w:t>May 9</w:t>
            </w:r>
            <w:r w:rsidRPr="00E20680">
              <w:rPr>
                <w:rFonts w:asciiTheme="majorHAnsi" w:hAnsiTheme="majorHAnsi" w:cstheme="majorHAnsi"/>
                <w:color w:val="212121"/>
                <w:sz w:val="18"/>
                <w:szCs w:val="18"/>
                <w:shd w:val="clear" w:color="auto" w:fill="FFFFFF"/>
                <w:vertAlign w:val="superscript"/>
                <w:lang w:val="en"/>
              </w:rPr>
              <w:t>th</w:t>
            </w:r>
            <w:r>
              <w:rPr>
                <w:rFonts w:asciiTheme="majorHAnsi" w:hAnsiTheme="majorHAnsi" w:cstheme="majorHAnsi"/>
                <w:color w:val="212121"/>
                <w:sz w:val="18"/>
                <w:szCs w:val="18"/>
                <w:shd w:val="clear" w:color="auto" w:fill="FFFFFF"/>
                <w:lang w:val="en"/>
              </w:rPr>
              <w:t xml:space="preserve">, 2016. On </w:t>
            </w:r>
            <w:r w:rsidR="00AF2F78">
              <w:rPr>
                <w:rFonts w:asciiTheme="majorHAnsi" w:hAnsiTheme="majorHAnsi" w:cstheme="majorHAnsi"/>
                <w:color w:val="212121"/>
                <w:sz w:val="18"/>
                <w:szCs w:val="18"/>
                <w:shd w:val="clear" w:color="auto" w:fill="FFFFFF"/>
                <w:lang w:val="en"/>
              </w:rPr>
              <w:t xml:space="preserve">8 </w:t>
            </w:r>
            <w:r>
              <w:rPr>
                <w:rFonts w:asciiTheme="majorHAnsi" w:hAnsiTheme="majorHAnsi" w:cstheme="majorHAnsi"/>
                <w:color w:val="212121"/>
                <w:sz w:val="18"/>
                <w:szCs w:val="18"/>
                <w:shd w:val="clear" w:color="auto" w:fill="FFFFFF"/>
                <w:lang w:val="en"/>
              </w:rPr>
              <w:t xml:space="preserve">July 2016, we received the letter that </w:t>
            </w:r>
            <w:r w:rsidR="00AF2F78">
              <w:rPr>
                <w:rFonts w:asciiTheme="majorHAnsi" w:hAnsiTheme="majorHAnsi" w:cstheme="majorHAnsi"/>
                <w:color w:val="212121"/>
                <w:sz w:val="18"/>
                <w:szCs w:val="18"/>
                <w:shd w:val="clear" w:color="auto" w:fill="FFFFFF"/>
                <w:lang w:val="en"/>
              </w:rPr>
              <w:t xml:space="preserve">the IUC proposal had been endorsed and conditionally approved. The proposal needed to be revised taking into consideration the various comments of the Latin America Selection Commission by 5 September 2016. The revised version has been finally approved after the </w:t>
            </w:r>
            <w:r w:rsidR="00840258">
              <w:rPr>
                <w:rFonts w:asciiTheme="majorHAnsi" w:hAnsiTheme="majorHAnsi" w:cstheme="majorHAnsi"/>
                <w:color w:val="212121"/>
                <w:sz w:val="18"/>
                <w:szCs w:val="18"/>
                <w:shd w:val="clear" w:color="auto" w:fill="FFFFFF"/>
                <w:lang w:val="en"/>
              </w:rPr>
              <w:t xml:space="preserve">final VLIR-UOS info session on 13 December 2016. </w:t>
            </w:r>
            <w:r>
              <w:rPr>
                <w:rFonts w:asciiTheme="majorHAnsi" w:hAnsiTheme="majorHAnsi" w:cstheme="majorHAnsi"/>
                <w:color w:val="212121"/>
                <w:sz w:val="18"/>
                <w:szCs w:val="18"/>
                <w:shd w:val="clear" w:color="auto" w:fill="FFFFFF"/>
                <w:lang w:val="en"/>
              </w:rPr>
              <w:t xml:space="preserve"> </w:t>
            </w:r>
          </w:p>
          <w:p w14:paraId="6D2F87D4" w14:textId="77777777" w:rsidR="006F42B3" w:rsidRDefault="006F42B3" w:rsidP="00DB7863">
            <w:pPr>
              <w:pStyle w:val="HTMLPreformatted"/>
              <w:spacing w:line="264" w:lineRule="auto"/>
              <w:jc w:val="both"/>
              <w:rPr>
                <w:rFonts w:asciiTheme="majorHAnsi" w:hAnsiTheme="majorHAnsi" w:cstheme="majorHAnsi"/>
                <w:color w:val="212121"/>
                <w:sz w:val="18"/>
                <w:szCs w:val="18"/>
                <w:shd w:val="clear" w:color="auto" w:fill="FFFFFF"/>
                <w:lang w:val="en"/>
              </w:rPr>
            </w:pPr>
          </w:p>
          <w:p w14:paraId="6B263A56" w14:textId="0940BE30" w:rsidR="00B5053D" w:rsidRPr="00B5053D" w:rsidRDefault="006F42B3" w:rsidP="00B5053D">
            <w:pPr>
              <w:pStyle w:val="HTMLPreformatted"/>
              <w:spacing w:line="264" w:lineRule="auto"/>
              <w:rPr>
                <w:rFonts w:asciiTheme="majorHAnsi" w:hAnsiTheme="majorHAnsi" w:cstheme="majorHAnsi"/>
                <w:color w:val="212121"/>
                <w:sz w:val="18"/>
                <w:szCs w:val="18"/>
                <w:shd w:val="clear" w:color="auto" w:fill="FFFFFF"/>
                <w:lang w:val="en-US"/>
              </w:rPr>
            </w:pPr>
            <w:r>
              <w:rPr>
                <w:rFonts w:asciiTheme="majorHAnsi" w:hAnsiTheme="majorHAnsi" w:cstheme="majorHAnsi"/>
                <w:color w:val="212121"/>
                <w:sz w:val="18"/>
                <w:szCs w:val="18"/>
                <w:shd w:val="clear" w:color="auto" w:fill="FFFFFF"/>
                <w:lang w:val="en-US"/>
              </w:rPr>
              <w:t xml:space="preserve">(2) </w:t>
            </w:r>
            <w:r w:rsidR="00510513" w:rsidRPr="00510513">
              <w:rPr>
                <w:rFonts w:asciiTheme="majorHAnsi" w:hAnsiTheme="majorHAnsi" w:cstheme="majorHAnsi"/>
                <w:b/>
                <w:color w:val="212121"/>
                <w:sz w:val="18"/>
                <w:szCs w:val="18"/>
                <w:shd w:val="clear" w:color="auto" w:fill="FFFFFF"/>
                <w:lang w:val="en-US"/>
              </w:rPr>
              <w:t>Pre-</w:t>
            </w:r>
            <w:proofErr w:type="spellStart"/>
            <w:r w:rsidR="00510513">
              <w:rPr>
                <w:rFonts w:asciiTheme="majorHAnsi" w:hAnsiTheme="majorHAnsi" w:cstheme="majorHAnsi"/>
                <w:b/>
                <w:color w:val="212121"/>
                <w:sz w:val="18"/>
                <w:szCs w:val="18"/>
                <w:shd w:val="clear" w:color="auto" w:fill="FFFFFF"/>
                <w:lang w:val="en-US"/>
              </w:rPr>
              <w:t>Programme</w:t>
            </w:r>
            <w:proofErr w:type="spellEnd"/>
            <w:r w:rsidR="00510513">
              <w:rPr>
                <w:rFonts w:asciiTheme="majorHAnsi" w:hAnsiTheme="majorHAnsi" w:cstheme="majorHAnsi"/>
                <w:b/>
                <w:color w:val="212121"/>
                <w:sz w:val="18"/>
                <w:szCs w:val="18"/>
                <w:shd w:val="clear" w:color="auto" w:fill="FFFFFF"/>
                <w:lang w:val="en-US"/>
              </w:rPr>
              <w:t xml:space="preserve"> visit to the four regional UCB units 16-25 August 2016 to install the reg</w:t>
            </w:r>
            <w:r w:rsidRPr="006F42B3">
              <w:rPr>
                <w:rFonts w:asciiTheme="majorHAnsi" w:hAnsiTheme="majorHAnsi" w:cstheme="majorHAnsi"/>
                <w:b/>
                <w:color w:val="212121"/>
                <w:sz w:val="18"/>
                <w:szCs w:val="18"/>
                <w:shd w:val="clear" w:color="auto" w:fill="FFFFFF"/>
                <w:lang w:val="en-US"/>
              </w:rPr>
              <w:t>ional TLC teams and networks</w:t>
            </w:r>
            <w:r>
              <w:rPr>
                <w:rFonts w:asciiTheme="majorHAnsi" w:hAnsiTheme="majorHAnsi" w:cstheme="majorHAnsi"/>
                <w:b/>
                <w:color w:val="212121"/>
                <w:sz w:val="18"/>
                <w:szCs w:val="18"/>
                <w:shd w:val="clear" w:color="auto" w:fill="FFFFFF"/>
                <w:lang w:val="en-US"/>
              </w:rPr>
              <w:t>.</w:t>
            </w:r>
            <w:r w:rsidR="00510513">
              <w:rPr>
                <w:rFonts w:asciiTheme="majorHAnsi" w:hAnsiTheme="majorHAnsi" w:cstheme="majorHAnsi"/>
                <w:b/>
                <w:color w:val="212121"/>
                <w:sz w:val="18"/>
                <w:szCs w:val="18"/>
                <w:shd w:val="clear" w:color="auto" w:fill="FFFFFF"/>
                <w:lang w:val="en-US"/>
              </w:rPr>
              <w:t xml:space="preserve"> </w:t>
            </w:r>
            <w:r w:rsidR="00B5053D" w:rsidRPr="00B5053D">
              <w:rPr>
                <w:rFonts w:asciiTheme="majorHAnsi" w:hAnsiTheme="majorHAnsi" w:cstheme="majorHAnsi"/>
                <w:color w:val="212121"/>
                <w:sz w:val="18"/>
                <w:szCs w:val="18"/>
                <w:shd w:val="clear" w:color="auto" w:fill="FFFFFF"/>
                <w:lang w:val="en-US"/>
              </w:rPr>
              <w:t>The aim of this visit was to prepare the installment of the T</w:t>
            </w:r>
            <w:r w:rsidR="00B5053D">
              <w:rPr>
                <w:rFonts w:asciiTheme="majorHAnsi" w:hAnsiTheme="majorHAnsi" w:cstheme="majorHAnsi"/>
                <w:color w:val="212121"/>
                <w:sz w:val="18"/>
                <w:szCs w:val="18"/>
                <w:shd w:val="clear" w:color="auto" w:fill="FFFFFF"/>
                <w:lang w:val="en-US"/>
              </w:rPr>
              <w:t>LC</w:t>
            </w:r>
            <w:r w:rsidR="00B5053D" w:rsidRPr="00B5053D">
              <w:rPr>
                <w:rFonts w:asciiTheme="majorHAnsi" w:hAnsiTheme="majorHAnsi" w:cstheme="majorHAnsi"/>
                <w:color w:val="212121"/>
                <w:sz w:val="18"/>
                <w:szCs w:val="18"/>
                <w:shd w:val="clear" w:color="auto" w:fill="FFFFFF"/>
                <w:lang w:val="en-US"/>
              </w:rPr>
              <w:t xml:space="preserve"> teams at the 4 regional UCB units of Santa Cruz, Tarija, Cochabamba and La Paz. Visiting participants were Melina Balderrama (local coordinator), Gerrit Loots (Flemish coordinator), Mariana Santa Cruz (local transversal project leader) and Beatriz Delgadillo (local project manager). Each regional visit consisted of 2 days including next activities: (1) Presentation of the IUC </w:t>
            </w:r>
            <w:proofErr w:type="spellStart"/>
            <w:r w:rsidR="00B5053D" w:rsidRPr="00B5053D">
              <w:rPr>
                <w:rFonts w:asciiTheme="majorHAnsi" w:hAnsiTheme="majorHAnsi" w:cstheme="majorHAnsi"/>
                <w:color w:val="212121"/>
                <w:sz w:val="18"/>
                <w:szCs w:val="18"/>
                <w:shd w:val="clear" w:color="auto" w:fill="FFFFFF"/>
                <w:lang w:val="en-US"/>
              </w:rPr>
              <w:t>programme</w:t>
            </w:r>
            <w:proofErr w:type="spellEnd"/>
            <w:r w:rsidR="00B5053D" w:rsidRPr="00B5053D">
              <w:rPr>
                <w:rFonts w:asciiTheme="majorHAnsi" w:hAnsiTheme="majorHAnsi" w:cstheme="majorHAnsi"/>
                <w:color w:val="212121"/>
                <w:sz w:val="18"/>
                <w:szCs w:val="18"/>
                <w:shd w:val="clear" w:color="auto" w:fill="FFFFFF"/>
                <w:lang w:val="en-US"/>
              </w:rPr>
              <w:t xml:space="preserve"> to the regional authorities; (2) Meeting with the academic members of the regional UCB unit to define and fulfill the operational conditions for the regional TLC teams; (3) Presentation of the </w:t>
            </w:r>
            <w:proofErr w:type="spellStart"/>
            <w:r w:rsidR="00B5053D" w:rsidRPr="00B5053D">
              <w:rPr>
                <w:rFonts w:asciiTheme="majorHAnsi" w:hAnsiTheme="majorHAnsi" w:cstheme="majorHAnsi"/>
                <w:color w:val="212121"/>
                <w:sz w:val="18"/>
                <w:szCs w:val="18"/>
                <w:shd w:val="clear" w:color="auto" w:fill="FFFFFF"/>
                <w:lang w:val="en-US"/>
              </w:rPr>
              <w:t>programme</w:t>
            </w:r>
            <w:proofErr w:type="spellEnd"/>
            <w:r w:rsidR="00B5053D" w:rsidRPr="00B5053D">
              <w:rPr>
                <w:rFonts w:asciiTheme="majorHAnsi" w:hAnsiTheme="majorHAnsi" w:cstheme="majorHAnsi"/>
                <w:color w:val="212121"/>
                <w:sz w:val="18"/>
                <w:szCs w:val="18"/>
                <w:shd w:val="clear" w:color="auto" w:fill="FFFFFF"/>
                <w:lang w:val="en-US"/>
              </w:rPr>
              <w:t xml:space="preserve"> to regional stakeholders (governmental departments, public services, NGOs and public universities); (4) Closing meeting with the local authorities to realize the fulfillment of the operational conditions for the TLC teams</w:t>
            </w:r>
            <w:r w:rsidR="002554F6">
              <w:rPr>
                <w:rFonts w:asciiTheme="majorHAnsi" w:hAnsiTheme="majorHAnsi" w:cstheme="majorHAnsi"/>
                <w:color w:val="212121"/>
                <w:sz w:val="18"/>
                <w:szCs w:val="18"/>
                <w:shd w:val="clear" w:color="auto" w:fill="FFFFFF"/>
                <w:lang w:val="en-US"/>
              </w:rPr>
              <w:t>.</w:t>
            </w:r>
            <w:r w:rsidR="00B5053D" w:rsidRPr="00B5053D">
              <w:rPr>
                <w:rFonts w:asciiTheme="majorHAnsi" w:hAnsiTheme="majorHAnsi" w:cstheme="majorHAnsi"/>
                <w:color w:val="212121"/>
                <w:sz w:val="18"/>
                <w:szCs w:val="18"/>
                <w:shd w:val="clear" w:color="auto" w:fill="FFFFFF"/>
                <w:lang w:val="en-US"/>
              </w:rPr>
              <w:t xml:space="preserve"> </w:t>
            </w:r>
          </w:p>
          <w:p w14:paraId="4E85BD97" w14:textId="26F4E124" w:rsidR="007E1E09" w:rsidRDefault="007E1E09" w:rsidP="007E1E09">
            <w:pPr>
              <w:pStyle w:val="HTMLPreformatted"/>
              <w:spacing w:line="264" w:lineRule="auto"/>
              <w:rPr>
                <w:rFonts w:asciiTheme="majorHAnsi" w:hAnsiTheme="majorHAnsi" w:cstheme="majorHAnsi"/>
                <w:color w:val="212121"/>
                <w:sz w:val="18"/>
                <w:szCs w:val="18"/>
                <w:shd w:val="clear" w:color="auto" w:fill="FFFFFF"/>
                <w:lang w:val="en-US"/>
              </w:rPr>
            </w:pPr>
            <w:r w:rsidRPr="007E1E09">
              <w:rPr>
                <w:rFonts w:asciiTheme="majorHAnsi" w:hAnsiTheme="majorHAnsi" w:cstheme="majorHAnsi"/>
                <w:color w:val="212121"/>
                <w:sz w:val="18"/>
                <w:szCs w:val="18"/>
                <w:shd w:val="clear" w:color="auto" w:fill="FFFFFF"/>
                <w:lang w:val="en-US"/>
              </w:rPr>
              <w:t xml:space="preserve">At all four regional UCB units, the visit was highly appreciated by the local UCB authorities. It was welcomed as an opportunity to be profoundly informed about the IUC </w:t>
            </w:r>
            <w:proofErr w:type="spellStart"/>
            <w:r w:rsidRPr="007E1E09">
              <w:rPr>
                <w:rFonts w:asciiTheme="majorHAnsi" w:hAnsiTheme="majorHAnsi" w:cstheme="majorHAnsi"/>
                <w:color w:val="212121"/>
                <w:sz w:val="18"/>
                <w:szCs w:val="18"/>
                <w:shd w:val="clear" w:color="auto" w:fill="FFFFFF"/>
                <w:lang w:val="en-US"/>
              </w:rPr>
              <w:t>programme</w:t>
            </w:r>
            <w:proofErr w:type="spellEnd"/>
            <w:r w:rsidRPr="007E1E09">
              <w:rPr>
                <w:rFonts w:asciiTheme="majorHAnsi" w:hAnsiTheme="majorHAnsi" w:cstheme="majorHAnsi"/>
                <w:color w:val="212121"/>
                <w:sz w:val="18"/>
                <w:szCs w:val="18"/>
                <w:shd w:val="clear" w:color="auto" w:fill="FFFFFF"/>
                <w:lang w:val="en-US"/>
              </w:rPr>
              <w:t xml:space="preserve"> and to reflect upon it as a tool to be used for enhancing regional training and research capacity according to the expectations of the UCB strategic plan. All regional rectors expressed their commitment to be engaged in the IUC </w:t>
            </w:r>
            <w:proofErr w:type="spellStart"/>
            <w:r w:rsidRPr="007E1E09">
              <w:rPr>
                <w:rFonts w:asciiTheme="majorHAnsi" w:hAnsiTheme="majorHAnsi" w:cstheme="majorHAnsi"/>
                <w:color w:val="212121"/>
                <w:sz w:val="18"/>
                <w:szCs w:val="18"/>
                <w:shd w:val="clear" w:color="auto" w:fill="FFFFFF"/>
                <w:lang w:val="en-US"/>
              </w:rPr>
              <w:t>programme</w:t>
            </w:r>
            <w:proofErr w:type="spellEnd"/>
            <w:r w:rsidRPr="007E1E09">
              <w:rPr>
                <w:rFonts w:asciiTheme="majorHAnsi" w:hAnsiTheme="majorHAnsi" w:cstheme="majorHAnsi"/>
                <w:color w:val="212121"/>
                <w:sz w:val="18"/>
                <w:szCs w:val="18"/>
                <w:shd w:val="clear" w:color="auto" w:fill="FFFFFF"/>
                <w:lang w:val="en-US"/>
              </w:rPr>
              <w:t xml:space="preserve"> and to support its realization, feasibility and sustainability, according to their specific and mutual differences in size of students (e.g., La Paz: 6700, Cochabamba: 4000, and Tarija 800), number of full-time and part-time staff members, number of PhD-degrees, research capacity and their regional position in society compared to other local universities. These regional differences </w:t>
            </w:r>
            <w:r w:rsidR="002554F6">
              <w:rPr>
                <w:rFonts w:asciiTheme="majorHAnsi" w:hAnsiTheme="majorHAnsi" w:cstheme="majorHAnsi"/>
                <w:color w:val="212121"/>
                <w:sz w:val="18"/>
                <w:szCs w:val="18"/>
                <w:shd w:val="clear" w:color="auto" w:fill="FFFFFF"/>
                <w:lang w:val="en-US"/>
              </w:rPr>
              <w:t xml:space="preserve">will </w:t>
            </w:r>
            <w:r w:rsidRPr="007E1E09">
              <w:rPr>
                <w:rFonts w:asciiTheme="majorHAnsi" w:hAnsiTheme="majorHAnsi" w:cstheme="majorHAnsi"/>
                <w:color w:val="212121"/>
                <w:sz w:val="18"/>
                <w:szCs w:val="18"/>
                <w:shd w:val="clear" w:color="auto" w:fill="FFFFFF"/>
                <w:lang w:val="en-US"/>
              </w:rPr>
              <w:t xml:space="preserve">be considered as starting baselines when implementing and evaluating the IUC </w:t>
            </w:r>
            <w:proofErr w:type="spellStart"/>
            <w:r w:rsidRPr="007E1E09">
              <w:rPr>
                <w:rFonts w:asciiTheme="majorHAnsi" w:hAnsiTheme="majorHAnsi" w:cstheme="majorHAnsi"/>
                <w:color w:val="212121"/>
                <w:sz w:val="18"/>
                <w:szCs w:val="18"/>
                <w:shd w:val="clear" w:color="auto" w:fill="FFFFFF"/>
                <w:lang w:val="en-US"/>
              </w:rPr>
              <w:t>programme</w:t>
            </w:r>
            <w:proofErr w:type="spellEnd"/>
            <w:r w:rsidR="00DB7863">
              <w:rPr>
                <w:rFonts w:asciiTheme="majorHAnsi" w:hAnsiTheme="majorHAnsi" w:cstheme="majorHAnsi"/>
                <w:color w:val="212121"/>
                <w:sz w:val="18"/>
                <w:szCs w:val="18"/>
                <w:shd w:val="clear" w:color="auto" w:fill="FFFFFF"/>
                <w:lang w:val="en-US"/>
              </w:rPr>
              <w:t xml:space="preserve"> (for a detailed activity overview and report on the outcome of the visit, </w:t>
            </w:r>
            <w:r w:rsidR="00DB7863" w:rsidRPr="000F00C2">
              <w:rPr>
                <w:rFonts w:asciiTheme="majorHAnsi" w:hAnsiTheme="majorHAnsi" w:cstheme="majorHAnsi"/>
                <w:color w:val="212121"/>
                <w:sz w:val="18"/>
                <w:szCs w:val="18"/>
                <w:shd w:val="clear" w:color="auto" w:fill="FFFFFF"/>
                <w:lang w:val="en-US"/>
              </w:rPr>
              <w:t>see annex 2</w:t>
            </w:r>
            <w:r w:rsidR="00DB7863">
              <w:rPr>
                <w:rFonts w:asciiTheme="majorHAnsi" w:hAnsiTheme="majorHAnsi" w:cstheme="majorHAnsi"/>
                <w:color w:val="212121"/>
                <w:sz w:val="18"/>
                <w:szCs w:val="18"/>
                <w:shd w:val="clear" w:color="auto" w:fill="FFFFFF"/>
                <w:lang w:val="en-US"/>
              </w:rPr>
              <w:t xml:space="preserve">). </w:t>
            </w:r>
          </w:p>
          <w:p w14:paraId="39624D67" w14:textId="77777777" w:rsidR="002554F6" w:rsidRPr="007E1E09" w:rsidRDefault="002554F6" w:rsidP="007E1E09">
            <w:pPr>
              <w:pStyle w:val="HTMLPreformatted"/>
              <w:spacing w:line="264" w:lineRule="auto"/>
              <w:rPr>
                <w:rFonts w:asciiTheme="majorHAnsi" w:hAnsiTheme="majorHAnsi" w:cstheme="majorHAnsi"/>
                <w:color w:val="212121"/>
                <w:sz w:val="18"/>
                <w:szCs w:val="18"/>
                <w:shd w:val="clear" w:color="auto" w:fill="FFFFFF"/>
                <w:lang w:val="en-US"/>
              </w:rPr>
            </w:pPr>
          </w:p>
          <w:p w14:paraId="381997F2" w14:textId="0380DEE1" w:rsidR="00F14733" w:rsidRDefault="00EB4224" w:rsidP="00B5053D">
            <w:pPr>
              <w:pStyle w:val="HTMLPreformatted"/>
              <w:spacing w:line="264" w:lineRule="auto"/>
              <w:jc w:val="both"/>
              <w:rPr>
                <w:rFonts w:asciiTheme="majorHAnsi" w:hAnsiTheme="majorHAnsi" w:cstheme="majorHAnsi"/>
                <w:color w:val="212121"/>
                <w:sz w:val="18"/>
                <w:szCs w:val="18"/>
                <w:shd w:val="clear" w:color="auto" w:fill="FFFFFF"/>
                <w:lang w:val="en"/>
              </w:rPr>
            </w:pPr>
            <w:r>
              <w:rPr>
                <w:rFonts w:asciiTheme="majorHAnsi" w:hAnsiTheme="majorHAnsi" w:cstheme="majorHAnsi"/>
                <w:color w:val="212121"/>
                <w:sz w:val="18"/>
                <w:szCs w:val="18"/>
                <w:shd w:val="clear" w:color="auto" w:fill="FFFFFF"/>
                <w:lang w:val="en"/>
              </w:rPr>
              <w:t>(</w:t>
            </w:r>
            <w:r w:rsidR="006F42B3">
              <w:rPr>
                <w:rFonts w:asciiTheme="majorHAnsi" w:hAnsiTheme="majorHAnsi" w:cstheme="majorHAnsi"/>
                <w:color w:val="212121"/>
                <w:sz w:val="18"/>
                <w:szCs w:val="18"/>
                <w:shd w:val="clear" w:color="auto" w:fill="FFFFFF"/>
                <w:lang w:val="en"/>
              </w:rPr>
              <w:t>3</w:t>
            </w:r>
            <w:r>
              <w:rPr>
                <w:rFonts w:asciiTheme="majorHAnsi" w:hAnsiTheme="majorHAnsi" w:cstheme="majorHAnsi"/>
                <w:color w:val="212121"/>
                <w:sz w:val="18"/>
                <w:szCs w:val="18"/>
                <w:shd w:val="clear" w:color="auto" w:fill="FFFFFF"/>
                <w:lang w:val="en"/>
              </w:rPr>
              <w:t xml:space="preserve">) </w:t>
            </w:r>
            <w:r w:rsidR="00634A98" w:rsidRPr="00634A98">
              <w:rPr>
                <w:rFonts w:asciiTheme="majorHAnsi" w:hAnsiTheme="majorHAnsi" w:cstheme="majorHAnsi"/>
                <w:b/>
                <w:color w:val="212121"/>
                <w:sz w:val="18"/>
                <w:szCs w:val="18"/>
                <w:shd w:val="clear" w:color="auto" w:fill="FFFFFF"/>
                <w:lang w:val="en"/>
              </w:rPr>
              <w:t>Implementation</w:t>
            </w:r>
            <w:r w:rsidR="004D7CA8">
              <w:rPr>
                <w:rFonts w:asciiTheme="majorHAnsi" w:hAnsiTheme="majorHAnsi" w:cstheme="majorHAnsi"/>
                <w:b/>
                <w:color w:val="212121"/>
                <w:sz w:val="18"/>
                <w:szCs w:val="18"/>
                <w:shd w:val="clear" w:color="auto" w:fill="FFFFFF"/>
                <w:lang w:val="en"/>
              </w:rPr>
              <w:t xml:space="preserve"> of the PSU on national and regional levels. </w:t>
            </w:r>
            <w:r w:rsidR="00DB4862">
              <w:rPr>
                <w:rFonts w:asciiTheme="majorHAnsi" w:hAnsiTheme="majorHAnsi" w:cstheme="majorHAnsi"/>
                <w:color w:val="212121"/>
                <w:sz w:val="18"/>
                <w:szCs w:val="18"/>
                <w:shd w:val="clear" w:color="auto" w:fill="FFFFFF"/>
                <w:lang w:val="en"/>
              </w:rPr>
              <w:t xml:space="preserve">At the start of the AP 2016, the national PSU team was defined and the national/regional office at the UCB La Paz was installed. The IUC </w:t>
            </w:r>
            <w:r w:rsidR="00510513">
              <w:rPr>
                <w:rFonts w:asciiTheme="majorHAnsi" w:hAnsiTheme="majorHAnsi" w:cstheme="majorHAnsi"/>
                <w:color w:val="212121"/>
                <w:sz w:val="18"/>
                <w:szCs w:val="18"/>
                <w:shd w:val="clear" w:color="auto" w:fill="FFFFFF"/>
                <w:lang w:val="en"/>
              </w:rPr>
              <w:t xml:space="preserve">local </w:t>
            </w:r>
            <w:r w:rsidR="00DB4862">
              <w:rPr>
                <w:rFonts w:asciiTheme="majorHAnsi" w:hAnsiTheme="majorHAnsi" w:cstheme="majorHAnsi"/>
                <w:color w:val="212121"/>
                <w:sz w:val="18"/>
                <w:szCs w:val="18"/>
                <w:shd w:val="clear" w:color="auto" w:fill="FFFFFF"/>
                <w:lang w:val="en"/>
              </w:rPr>
              <w:t>programme manager</w:t>
            </w:r>
            <w:r w:rsidR="00510513">
              <w:rPr>
                <w:rFonts w:asciiTheme="majorHAnsi" w:hAnsiTheme="majorHAnsi" w:cstheme="majorHAnsi"/>
                <w:color w:val="212121"/>
                <w:sz w:val="18"/>
                <w:szCs w:val="18"/>
                <w:shd w:val="clear" w:color="auto" w:fill="FFFFFF"/>
                <w:lang w:val="en"/>
              </w:rPr>
              <w:t xml:space="preserve">, Beatriz Delgadillo, </w:t>
            </w:r>
            <w:r w:rsidR="00DB4862">
              <w:rPr>
                <w:rFonts w:asciiTheme="majorHAnsi" w:hAnsiTheme="majorHAnsi" w:cstheme="majorHAnsi"/>
                <w:color w:val="212121"/>
                <w:sz w:val="18"/>
                <w:szCs w:val="18"/>
                <w:shd w:val="clear" w:color="auto" w:fill="FFFFFF"/>
                <w:lang w:val="en"/>
              </w:rPr>
              <w:t>was appointed on 10 March 2016, after a public call and selection procedure</w:t>
            </w:r>
            <w:r w:rsidR="00E2188B">
              <w:rPr>
                <w:rFonts w:asciiTheme="majorHAnsi" w:hAnsiTheme="majorHAnsi" w:cstheme="majorHAnsi"/>
                <w:color w:val="212121"/>
                <w:sz w:val="18"/>
                <w:szCs w:val="18"/>
                <w:shd w:val="clear" w:color="auto" w:fill="FFFFFF"/>
                <w:lang w:val="en"/>
              </w:rPr>
              <w:t xml:space="preserve">. She was involved in organizing workshops and meetings, organizing and monitoring the budget, and developing the IUC Management Manual. </w:t>
            </w:r>
            <w:r w:rsidR="004C2586">
              <w:rPr>
                <w:rFonts w:asciiTheme="majorHAnsi" w:hAnsiTheme="majorHAnsi" w:cstheme="majorHAnsi"/>
                <w:color w:val="212121"/>
                <w:sz w:val="18"/>
                <w:szCs w:val="18"/>
                <w:shd w:val="clear" w:color="auto" w:fill="FFFFFF"/>
                <w:lang w:val="en"/>
              </w:rPr>
              <w:t xml:space="preserve">However, insufficient English skills inhibited </w:t>
            </w:r>
            <w:r w:rsidR="0062509C">
              <w:rPr>
                <w:rFonts w:asciiTheme="majorHAnsi" w:hAnsiTheme="majorHAnsi" w:cstheme="majorHAnsi"/>
                <w:color w:val="212121"/>
                <w:sz w:val="18"/>
                <w:szCs w:val="18"/>
                <w:shd w:val="clear" w:color="auto" w:fill="FFFFFF"/>
                <w:lang w:val="en"/>
              </w:rPr>
              <w:t xml:space="preserve">a </w:t>
            </w:r>
            <w:r w:rsidR="004C2586">
              <w:rPr>
                <w:rFonts w:asciiTheme="majorHAnsi" w:hAnsiTheme="majorHAnsi" w:cstheme="majorHAnsi"/>
                <w:color w:val="212121"/>
                <w:sz w:val="18"/>
                <w:szCs w:val="18"/>
                <w:shd w:val="clear" w:color="auto" w:fill="FFFFFF"/>
                <w:lang w:val="en"/>
              </w:rPr>
              <w:t xml:space="preserve">fluent administrative and management support and </w:t>
            </w:r>
            <w:r w:rsidR="0062509C">
              <w:rPr>
                <w:rFonts w:asciiTheme="majorHAnsi" w:hAnsiTheme="majorHAnsi" w:cstheme="majorHAnsi"/>
                <w:color w:val="212121"/>
                <w:sz w:val="18"/>
                <w:szCs w:val="18"/>
                <w:shd w:val="clear" w:color="auto" w:fill="FFFFFF"/>
                <w:lang w:val="en"/>
              </w:rPr>
              <w:t xml:space="preserve">resulted in renouncing an extension of the contract at the end of the IUC Pre-Partner Programme. A new call for a programme manager has been launched at the start of the IUC programme. </w:t>
            </w:r>
          </w:p>
          <w:p w14:paraId="4C5B4538" w14:textId="3D83BBC7" w:rsidR="00D363D2" w:rsidRDefault="00F14733" w:rsidP="00B5053D">
            <w:pPr>
              <w:pStyle w:val="HTMLPreformatted"/>
              <w:spacing w:line="264" w:lineRule="auto"/>
              <w:jc w:val="both"/>
              <w:rPr>
                <w:rFonts w:asciiTheme="majorHAnsi" w:hAnsiTheme="majorHAnsi" w:cstheme="majorHAnsi"/>
                <w:color w:val="212121"/>
                <w:sz w:val="18"/>
                <w:szCs w:val="18"/>
                <w:shd w:val="clear" w:color="auto" w:fill="FFFFFF"/>
                <w:lang w:val="en"/>
              </w:rPr>
            </w:pPr>
            <w:r>
              <w:rPr>
                <w:rFonts w:asciiTheme="majorHAnsi" w:hAnsiTheme="majorHAnsi" w:cstheme="majorHAnsi"/>
                <w:color w:val="212121"/>
                <w:sz w:val="18"/>
                <w:szCs w:val="18"/>
                <w:shd w:val="clear" w:color="auto" w:fill="FFFFFF"/>
                <w:lang w:val="en"/>
              </w:rPr>
              <w:t>As aforementioned, the implementation of the PSU on national level was extended by administrative support at each regional UCB unit. All 4 rectors of the regional UCB universities agreed to offer 50% administrative support</w:t>
            </w:r>
            <w:r w:rsidR="00510513">
              <w:rPr>
                <w:rFonts w:asciiTheme="majorHAnsi" w:hAnsiTheme="majorHAnsi" w:cstheme="majorHAnsi"/>
                <w:color w:val="212121"/>
                <w:sz w:val="18"/>
                <w:szCs w:val="18"/>
                <w:shd w:val="clear" w:color="auto" w:fill="FFFFFF"/>
                <w:lang w:val="en"/>
              </w:rPr>
              <w:t xml:space="preserve">, </w:t>
            </w:r>
            <w:r>
              <w:rPr>
                <w:rFonts w:asciiTheme="majorHAnsi" w:hAnsiTheme="majorHAnsi" w:cstheme="majorHAnsi"/>
                <w:color w:val="212121"/>
                <w:sz w:val="18"/>
                <w:szCs w:val="18"/>
                <w:shd w:val="clear" w:color="auto" w:fill="FFFFFF"/>
                <w:lang w:val="en"/>
              </w:rPr>
              <w:t xml:space="preserve"> </w:t>
            </w:r>
            <w:r w:rsidR="00510513">
              <w:rPr>
                <w:rFonts w:asciiTheme="majorHAnsi" w:hAnsiTheme="majorHAnsi" w:cstheme="majorHAnsi"/>
                <w:color w:val="212121"/>
                <w:sz w:val="18"/>
                <w:szCs w:val="18"/>
                <w:shd w:val="clear" w:color="auto" w:fill="FFFFFF"/>
                <w:lang w:val="en"/>
              </w:rPr>
              <w:t xml:space="preserve">as well as sufficient accommodation to ensure a fluent </w:t>
            </w:r>
            <w:r>
              <w:rPr>
                <w:rFonts w:asciiTheme="majorHAnsi" w:hAnsiTheme="majorHAnsi" w:cstheme="majorHAnsi"/>
                <w:color w:val="212121"/>
                <w:sz w:val="18"/>
                <w:szCs w:val="18"/>
                <w:shd w:val="clear" w:color="auto" w:fill="FFFFFF"/>
                <w:lang w:val="en"/>
              </w:rPr>
              <w:t>functioning of the regional TLC teams</w:t>
            </w:r>
            <w:r w:rsidR="00510513">
              <w:rPr>
                <w:rFonts w:asciiTheme="majorHAnsi" w:hAnsiTheme="majorHAnsi" w:cstheme="majorHAnsi"/>
                <w:color w:val="212121"/>
                <w:sz w:val="18"/>
                <w:szCs w:val="18"/>
                <w:shd w:val="clear" w:color="auto" w:fill="FFFFFF"/>
                <w:lang w:val="en"/>
              </w:rPr>
              <w:t xml:space="preserve">. </w:t>
            </w:r>
            <w:r>
              <w:rPr>
                <w:rFonts w:asciiTheme="majorHAnsi" w:hAnsiTheme="majorHAnsi" w:cstheme="majorHAnsi"/>
                <w:color w:val="212121"/>
                <w:sz w:val="18"/>
                <w:szCs w:val="18"/>
                <w:shd w:val="clear" w:color="auto" w:fill="FFFFFF"/>
                <w:lang w:val="en"/>
              </w:rPr>
              <w:t xml:space="preserve"> </w:t>
            </w:r>
          </w:p>
          <w:p w14:paraId="647B5C38" w14:textId="77777777" w:rsidR="00D363D2" w:rsidRDefault="00D363D2" w:rsidP="00B5053D">
            <w:pPr>
              <w:pStyle w:val="HTMLPreformatted"/>
              <w:spacing w:line="264" w:lineRule="auto"/>
              <w:jc w:val="both"/>
              <w:rPr>
                <w:rFonts w:asciiTheme="majorHAnsi" w:hAnsiTheme="majorHAnsi" w:cstheme="majorHAnsi"/>
                <w:color w:val="212121"/>
                <w:sz w:val="18"/>
                <w:szCs w:val="18"/>
                <w:shd w:val="clear" w:color="auto" w:fill="FFFFFF"/>
                <w:lang w:val="en"/>
              </w:rPr>
            </w:pPr>
          </w:p>
          <w:p w14:paraId="26E7C0DE" w14:textId="3EF8B9AE" w:rsidR="00CE3A66" w:rsidRPr="006C3F48" w:rsidRDefault="006F42B3" w:rsidP="00B5053D">
            <w:pPr>
              <w:pStyle w:val="HTMLPreformatted"/>
              <w:spacing w:line="264" w:lineRule="auto"/>
              <w:jc w:val="both"/>
              <w:rPr>
                <w:rFonts w:asciiTheme="majorHAnsi" w:hAnsiTheme="majorHAnsi" w:cstheme="majorHAnsi"/>
                <w:color w:val="212121"/>
                <w:sz w:val="18"/>
                <w:szCs w:val="18"/>
                <w:shd w:val="clear" w:color="auto" w:fill="FFFFFF"/>
                <w:lang w:val="en-US"/>
              </w:rPr>
            </w:pPr>
            <w:r>
              <w:rPr>
                <w:rFonts w:asciiTheme="majorHAnsi" w:hAnsiTheme="majorHAnsi" w:cstheme="majorHAnsi"/>
                <w:color w:val="212121"/>
                <w:sz w:val="18"/>
                <w:szCs w:val="18"/>
                <w:shd w:val="clear" w:color="auto" w:fill="FFFFFF"/>
                <w:lang w:val="en"/>
              </w:rPr>
              <w:t xml:space="preserve">(4) </w:t>
            </w:r>
            <w:r w:rsidRPr="006F42B3">
              <w:rPr>
                <w:rFonts w:asciiTheme="majorHAnsi" w:hAnsiTheme="majorHAnsi" w:cstheme="majorHAnsi"/>
                <w:b/>
                <w:color w:val="212121"/>
                <w:sz w:val="18"/>
                <w:szCs w:val="18"/>
                <w:shd w:val="clear" w:color="auto" w:fill="FFFFFF"/>
                <w:lang w:val="en-US"/>
              </w:rPr>
              <w:t>Management of strategic stakeholder alliances</w:t>
            </w:r>
            <w:r>
              <w:rPr>
                <w:rFonts w:asciiTheme="majorHAnsi" w:hAnsiTheme="majorHAnsi" w:cstheme="majorHAnsi"/>
                <w:b/>
                <w:color w:val="212121"/>
                <w:sz w:val="18"/>
                <w:szCs w:val="18"/>
                <w:shd w:val="clear" w:color="auto" w:fill="FFFFFF"/>
                <w:lang w:val="en-US"/>
              </w:rPr>
              <w:t>.</w:t>
            </w:r>
            <w:r w:rsidR="006C3F48">
              <w:rPr>
                <w:rFonts w:asciiTheme="majorHAnsi" w:hAnsiTheme="majorHAnsi" w:cstheme="majorHAnsi"/>
                <w:b/>
                <w:color w:val="212121"/>
                <w:sz w:val="18"/>
                <w:szCs w:val="18"/>
                <w:shd w:val="clear" w:color="auto" w:fill="FFFFFF"/>
                <w:lang w:val="en-US"/>
              </w:rPr>
              <w:t xml:space="preserve"> </w:t>
            </w:r>
            <w:r w:rsidR="006C3F48" w:rsidRPr="006C3F48">
              <w:rPr>
                <w:rFonts w:asciiTheme="majorHAnsi" w:hAnsiTheme="majorHAnsi" w:cstheme="majorHAnsi"/>
                <w:color w:val="212121"/>
                <w:sz w:val="18"/>
                <w:szCs w:val="18"/>
                <w:shd w:val="clear" w:color="auto" w:fill="FFFFFF"/>
                <w:lang w:val="en-US"/>
              </w:rPr>
              <w:t>Once</w:t>
            </w:r>
            <w:r w:rsidR="006C3F48">
              <w:rPr>
                <w:rFonts w:asciiTheme="majorHAnsi" w:hAnsiTheme="majorHAnsi" w:cstheme="majorHAnsi"/>
                <w:color w:val="212121"/>
                <w:sz w:val="18"/>
                <w:szCs w:val="18"/>
                <w:shd w:val="clear" w:color="auto" w:fill="FFFFFF"/>
                <w:lang w:val="en-US"/>
              </w:rPr>
              <w:t xml:space="preserve"> the TLC teams had been installed at the 4 different regional UCB universities, the regional TLC members of each IUC project coordinated by their </w:t>
            </w:r>
            <w:r w:rsidR="000A5820">
              <w:rPr>
                <w:rFonts w:asciiTheme="majorHAnsi" w:hAnsiTheme="majorHAnsi" w:cstheme="majorHAnsi"/>
                <w:color w:val="212121"/>
                <w:sz w:val="18"/>
                <w:szCs w:val="18"/>
                <w:shd w:val="clear" w:color="auto" w:fill="FFFFFF"/>
                <w:lang w:val="en-US"/>
              </w:rPr>
              <w:t xml:space="preserve">national project </w:t>
            </w:r>
            <w:r w:rsidR="000A5820">
              <w:rPr>
                <w:rFonts w:asciiTheme="majorHAnsi" w:hAnsiTheme="majorHAnsi" w:cstheme="majorHAnsi"/>
                <w:color w:val="212121"/>
                <w:sz w:val="18"/>
                <w:szCs w:val="18"/>
                <w:shd w:val="clear" w:color="auto" w:fill="FFFFFF"/>
                <w:lang w:val="en-US"/>
              </w:rPr>
              <w:lastRenderedPageBreak/>
              <w:t xml:space="preserve">leaders </w:t>
            </w:r>
            <w:r w:rsidR="006C3F48">
              <w:rPr>
                <w:rFonts w:asciiTheme="majorHAnsi" w:hAnsiTheme="majorHAnsi" w:cstheme="majorHAnsi"/>
                <w:color w:val="212121"/>
                <w:sz w:val="18"/>
                <w:szCs w:val="18"/>
                <w:shd w:val="clear" w:color="auto" w:fill="FFFFFF"/>
                <w:lang w:val="en-US"/>
              </w:rPr>
              <w:t>contacted national and regional stakeholders</w:t>
            </w:r>
            <w:r w:rsidR="000A5820">
              <w:rPr>
                <w:rFonts w:asciiTheme="majorHAnsi" w:hAnsiTheme="majorHAnsi" w:cstheme="majorHAnsi"/>
                <w:color w:val="212121"/>
                <w:sz w:val="18"/>
                <w:szCs w:val="18"/>
                <w:shd w:val="clear" w:color="auto" w:fill="FFFFFF"/>
                <w:lang w:val="en-US"/>
              </w:rPr>
              <w:t>, and invited them to participate in defining and selecting the local macro-region in which the transdisciplinary learning community will be developed. At each region i</w:t>
            </w:r>
            <w:r w:rsidR="006C3F48" w:rsidRPr="006C3F48">
              <w:rPr>
                <w:rFonts w:asciiTheme="majorHAnsi" w:hAnsiTheme="majorHAnsi" w:cstheme="majorHAnsi"/>
                <w:color w:val="212121"/>
                <w:sz w:val="18"/>
                <w:szCs w:val="18"/>
                <w:shd w:val="clear" w:color="auto" w:fill="FFFFFF"/>
                <w:lang w:val="en-US"/>
              </w:rPr>
              <w:t>mportant regional stakeholders in terms of public services, NGOs, local governments and public universities show</w:t>
            </w:r>
            <w:r w:rsidR="000A5820">
              <w:rPr>
                <w:rFonts w:asciiTheme="majorHAnsi" w:hAnsiTheme="majorHAnsi" w:cstheme="majorHAnsi"/>
                <w:color w:val="212121"/>
                <w:sz w:val="18"/>
                <w:szCs w:val="18"/>
                <w:shd w:val="clear" w:color="auto" w:fill="FFFFFF"/>
                <w:lang w:val="en-US"/>
              </w:rPr>
              <w:t>ed</w:t>
            </w:r>
            <w:r w:rsidR="006C3F48" w:rsidRPr="006C3F48">
              <w:rPr>
                <w:rFonts w:asciiTheme="majorHAnsi" w:hAnsiTheme="majorHAnsi" w:cstheme="majorHAnsi"/>
                <w:color w:val="212121"/>
                <w:sz w:val="18"/>
                <w:szCs w:val="18"/>
                <w:shd w:val="clear" w:color="auto" w:fill="FFFFFF"/>
                <w:lang w:val="en-US"/>
              </w:rPr>
              <w:t xml:space="preserve"> an active interest to be involved in and to contribute to the </w:t>
            </w:r>
            <w:r w:rsidR="000A5820">
              <w:rPr>
                <w:rFonts w:asciiTheme="majorHAnsi" w:hAnsiTheme="majorHAnsi" w:cstheme="majorHAnsi"/>
                <w:color w:val="212121"/>
                <w:sz w:val="18"/>
                <w:szCs w:val="18"/>
                <w:shd w:val="clear" w:color="auto" w:fill="FFFFFF"/>
                <w:lang w:val="en-US"/>
              </w:rPr>
              <w:t xml:space="preserve">regional </w:t>
            </w:r>
            <w:r w:rsidR="006C3F48" w:rsidRPr="006C3F48">
              <w:rPr>
                <w:rFonts w:asciiTheme="majorHAnsi" w:hAnsiTheme="majorHAnsi" w:cstheme="majorHAnsi"/>
                <w:color w:val="212121"/>
                <w:sz w:val="18"/>
                <w:szCs w:val="18"/>
                <w:shd w:val="clear" w:color="auto" w:fill="FFFFFF"/>
                <w:lang w:val="en-US"/>
              </w:rPr>
              <w:t>development of the TLC approach</w:t>
            </w:r>
            <w:r w:rsidR="000A5820">
              <w:rPr>
                <w:rFonts w:asciiTheme="majorHAnsi" w:hAnsiTheme="majorHAnsi" w:cstheme="majorHAnsi"/>
                <w:color w:val="212121"/>
                <w:sz w:val="18"/>
                <w:szCs w:val="18"/>
                <w:shd w:val="clear" w:color="auto" w:fill="FFFFFF"/>
                <w:lang w:val="en-US"/>
              </w:rPr>
              <w:t xml:space="preserve">. </w:t>
            </w:r>
          </w:p>
          <w:p w14:paraId="5C9EF2A2" w14:textId="14CA7156" w:rsidR="009823F2" w:rsidRDefault="000A5820" w:rsidP="009823F2">
            <w:pPr>
              <w:pStyle w:val="HTMLPreformatted"/>
              <w:shd w:val="clear" w:color="auto" w:fill="FFFFFF"/>
              <w:spacing w:line="264" w:lineRule="auto"/>
              <w:rPr>
                <w:rFonts w:asciiTheme="majorHAnsi" w:hAnsiTheme="majorHAnsi" w:cstheme="majorHAnsi"/>
                <w:color w:val="212121"/>
                <w:sz w:val="18"/>
                <w:szCs w:val="18"/>
                <w:shd w:val="clear" w:color="auto" w:fill="FFFFFF"/>
                <w:lang w:val="en-US"/>
              </w:rPr>
            </w:pPr>
            <w:r w:rsidRPr="000A5820">
              <w:rPr>
                <w:rFonts w:asciiTheme="majorHAnsi" w:hAnsiTheme="majorHAnsi" w:cstheme="majorHAnsi"/>
                <w:color w:val="212121"/>
                <w:sz w:val="18"/>
                <w:szCs w:val="18"/>
                <w:shd w:val="clear" w:color="auto" w:fill="FFFFFF"/>
                <w:lang w:val="en-US"/>
              </w:rPr>
              <w:t xml:space="preserve">Several international and national NGOs and the government of the Department Santa Cruz expressed their interest to be involved. They strongly appreciated the transdisciplinary and collaborative community approach. Some of them, such as </w:t>
            </w:r>
            <w:proofErr w:type="spellStart"/>
            <w:r w:rsidRPr="000A5820">
              <w:rPr>
                <w:rFonts w:asciiTheme="majorHAnsi" w:hAnsiTheme="majorHAnsi" w:cstheme="majorHAnsi"/>
                <w:color w:val="212121"/>
                <w:sz w:val="18"/>
                <w:szCs w:val="18"/>
                <w:shd w:val="clear" w:color="auto" w:fill="FFFFFF"/>
                <w:lang w:val="en-US"/>
              </w:rPr>
              <w:t>Avina</w:t>
            </w:r>
            <w:proofErr w:type="spellEnd"/>
            <w:r w:rsidRPr="000A5820">
              <w:rPr>
                <w:rFonts w:asciiTheme="majorHAnsi" w:hAnsiTheme="majorHAnsi" w:cstheme="majorHAnsi"/>
                <w:color w:val="212121"/>
                <w:sz w:val="18"/>
                <w:szCs w:val="18"/>
                <w:shd w:val="clear" w:color="auto" w:fill="FFFFFF"/>
                <w:lang w:val="en-US"/>
              </w:rPr>
              <w:t xml:space="preserve">, were familiar with collaborative community approaches in different countries of South-America. They emphasized the development of fluent communication and information strategies with and within the communities and the involvement of regional and national governments.  </w:t>
            </w:r>
            <w:r>
              <w:rPr>
                <w:rFonts w:asciiTheme="majorHAnsi" w:hAnsiTheme="majorHAnsi" w:cstheme="majorHAnsi"/>
                <w:color w:val="212121"/>
                <w:sz w:val="18"/>
                <w:szCs w:val="18"/>
                <w:shd w:val="clear" w:color="auto" w:fill="FFFFFF"/>
                <w:lang w:val="en-US"/>
              </w:rPr>
              <w:t xml:space="preserve">In Cochabamba, </w:t>
            </w:r>
            <w:r w:rsidR="009823F2">
              <w:rPr>
                <w:rFonts w:asciiTheme="majorHAnsi" w:hAnsiTheme="majorHAnsi" w:cstheme="majorHAnsi"/>
                <w:color w:val="212121"/>
                <w:sz w:val="18"/>
                <w:szCs w:val="18"/>
                <w:shd w:val="clear" w:color="auto" w:fill="FFFFFF"/>
                <w:lang w:val="en-US"/>
              </w:rPr>
              <w:t>12</w:t>
            </w:r>
            <w:r w:rsidR="009823F2" w:rsidRPr="009823F2">
              <w:rPr>
                <w:rFonts w:asciiTheme="majorHAnsi" w:hAnsiTheme="majorHAnsi" w:cstheme="majorHAnsi"/>
                <w:color w:val="212121"/>
                <w:sz w:val="18"/>
                <w:szCs w:val="18"/>
                <w:shd w:val="clear" w:color="auto" w:fill="FFFFFF"/>
                <w:lang w:val="en-US"/>
              </w:rPr>
              <w:t xml:space="preserve"> international and national NGOs, a representative of the regional government and several staff members of the Universidad Mayor de San Simon (UMSS) </w:t>
            </w:r>
            <w:r w:rsidR="009823F2">
              <w:rPr>
                <w:rFonts w:asciiTheme="majorHAnsi" w:hAnsiTheme="majorHAnsi" w:cstheme="majorHAnsi"/>
                <w:color w:val="212121"/>
                <w:sz w:val="18"/>
                <w:szCs w:val="18"/>
                <w:shd w:val="clear" w:color="auto" w:fill="FFFFFF"/>
                <w:lang w:val="en-US"/>
              </w:rPr>
              <w:t xml:space="preserve">expressed their interest to be involved in the development of </w:t>
            </w:r>
            <w:r w:rsidR="009823F2" w:rsidRPr="009823F2">
              <w:rPr>
                <w:rFonts w:asciiTheme="majorHAnsi" w:hAnsiTheme="majorHAnsi" w:cstheme="majorHAnsi"/>
                <w:color w:val="212121"/>
                <w:sz w:val="18"/>
                <w:szCs w:val="18"/>
                <w:shd w:val="clear" w:color="auto" w:fill="FFFFFF"/>
                <w:lang w:val="en-US"/>
              </w:rPr>
              <w:t>the regional TLC team</w:t>
            </w:r>
            <w:r w:rsidR="009823F2">
              <w:rPr>
                <w:rFonts w:asciiTheme="majorHAnsi" w:hAnsiTheme="majorHAnsi" w:cstheme="majorHAnsi"/>
                <w:color w:val="212121"/>
                <w:sz w:val="18"/>
                <w:szCs w:val="18"/>
                <w:shd w:val="clear" w:color="auto" w:fill="FFFFFF"/>
                <w:lang w:val="en-US"/>
              </w:rPr>
              <w:t>.</w:t>
            </w:r>
            <w:r w:rsidR="009823F2" w:rsidRPr="009823F2">
              <w:rPr>
                <w:rFonts w:asciiTheme="majorHAnsi" w:hAnsiTheme="majorHAnsi" w:cstheme="majorHAnsi"/>
                <w:color w:val="212121"/>
                <w:sz w:val="18"/>
                <w:szCs w:val="18"/>
                <w:shd w:val="clear" w:color="auto" w:fill="FFFFFF"/>
                <w:lang w:val="en-US"/>
              </w:rPr>
              <w:t xml:space="preserve"> The interest of UMSS to cooperate in the TLC of Cochabamba is an important opportunity to involve a public university from the beginning of the </w:t>
            </w:r>
            <w:proofErr w:type="spellStart"/>
            <w:r w:rsidR="009823F2" w:rsidRPr="009823F2">
              <w:rPr>
                <w:rFonts w:asciiTheme="majorHAnsi" w:hAnsiTheme="majorHAnsi" w:cstheme="majorHAnsi"/>
                <w:color w:val="212121"/>
                <w:sz w:val="18"/>
                <w:szCs w:val="18"/>
                <w:shd w:val="clear" w:color="auto" w:fill="FFFFFF"/>
                <w:lang w:val="en-US"/>
              </w:rPr>
              <w:t>programme</w:t>
            </w:r>
            <w:proofErr w:type="spellEnd"/>
            <w:r w:rsidR="009823F2" w:rsidRPr="009823F2">
              <w:rPr>
                <w:rFonts w:asciiTheme="majorHAnsi" w:hAnsiTheme="majorHAnsi" w:cstheme="majorHAnsi"/>
                <w:color w:val="212121"/>
                <w:sz w:val="18"/>
                <w:szCs w:val="18"/>
                <w:shd w:val="clear" w:color="auto" w:fill="FFFFFF"/>
                <w:lang w:val="en-US"/>
              </w:rPr>
              <w:t>. All organizations strongly appreciated the transdisciplinary and collaborative community approach as a new and integrative way of doing research, although it would be an ambitious challenge to be realized. They warned about hidden agendas of participants and stakeholders that might threaten and obstruct collaboration. They also emphasized the involvement of regional and national governments.</w:t>
            </w:r>
            <w:r w:rsidR="009823F2">
              <w:rPr>
                <w:rFonts w:asciiTheme="majorHAnsi" w:hAnsiTheme="majorHAnsi" w:cstheme="majorHAnsi"/>
                <w:color w:val="212121"/>
                <w:sz w:val="18"/>
                <w:szCs w:val="18"/>
                <w:shd w:val="clear" w:color="auto" w:fill="FFFFFF"/>
                <w:lang w:val="en-US"/>
              </w:rPr>
              <w:t xml:space="preserve"> In La Paz, </w:t>
            </w:r>
            <w:r w:rsidR="00523CF2">
              <w:rPr>
                <w:rFonts w:asciiTheme="majorHAnsi" w:hAnsiTheme="majorHAnsi" w:cstheme="majorHAnsi"/>
                <w:color w:val="212121"/>
                <w:sz w:val="18"/>
                <w:szCs w:val="18"/>
                <w:shd w:val="clear" w:color="auto" w:fill="FFFFFF"/>
                <w:lang w:val="en-US"/>
              </w:rPr>
              <w:t xml:space="preserve">the local government of the city agreed to participate in the TLC. The municipal of La Paz suggested the inclusion of the municipal El Alto and some other municipalities to create a large urban area to develop a local TLC. </w:t>
            </w:r>
          </w:p>
          <w:p w14:paraId="356AA96A" w14:textId="77777777" w:rsidR="00523CF2" w:rsidRDefault="00523CF2" w:rsidP="009823F2">
            <w:pPr>
              <w:pStyle w:val="HTMLPreformatted"/>
              <w:shd w:val="clear" w:color="auto" w:fill="FFFFFF"/>
              <w:spacing w:line="264" w:lineRule="auto"/>
              <w:rPr>
                <w:rFonts w:asciiTheme="majorHAnsi" w:hAnsiTheme="majorHAnsi" w:cstheme="majorHAnsi"/>
                <w:color w:val="212121"/>
                <w:sz w:val="18"/>
                <w:szCs w:val="18"/>
                <w:shd w:val="clear" w:color="auto" w:fill="FFFFFF"/>
                <w:lang w:val="en-US"/>
              </w:rPr>
            </w:pPr>
          </w:p>
          <w:p w14:paraId="622D9671" w14:textId="2DCA08EE" w:rsidR="006D0679" w:rsidRPr="006D0679" w:rsidRDefault="00523CF2" w:rsidP="004551D7">
            <w:pPr>
              <w:pStyle w:val="HTMLPreformatted"/>
              <w:shd w:val="clear" w:color="auto" w:fill="FFFFFF"/>
              <w:spacing w:line="264" w:lineRule="auto"/>
              <w:rPr>
                <w:sz w:val="18"/>
                <w:lang w:val="en-GB"/>
              </w:rPr>
            </w:pPr>
            <w:r>
              <w:rPr>
                <w:rFonts w:asciiTheme="majorHAnsi" w:hAnsiTheme="majorHAnsi" w:cstheme="majorHAnsi"/>
                <w:color w:val="212121"/>
                <w:sz w:val="18"/>
                <w:szCs w:val="18"/>
                <w:shd w:val="clear" w:color="auto" w:fill="FFFFFF"/>
                <w:lang w:val="en-US"/>
              </w:rPr>
              <w:t xml:space="preserve">(5) </w:t>
            </w:r>
            <w:r w:rsidR="00DC6ECA" w:rsidRPr="00DC6ECA">
              <w:rPr>
                <w:rFonts w:asciiTheme="majorHAnsi" w:hAnsiTheme="majorHAnsi" w:cstheme="majorHAnsi"/>
                <w:b/>
                <w:color w:val="212121"/>
                <w:sz w:val="18"/>
                <w:szCs w:val="18"/>
                <w:shd w:val="clear" w:color="auto" w:fill="FFFFFF"/>
                <w:lang w:val="en-US"/>
              </w:rPr>
              <w:t xml:space="preserve">Finalizing PPP visit by Flemish </w:t>
            </w:r>
            <w:proofErr w:type="spellStart"/>
            <w:r w:rsidR="00DC6ECA" w:rsidRPr="00DC6ECA">
              <w:rPr>
                <w:rFonts w:asciiTheme="majorHAnsi" w:hAnsiTheme="majorHAnsi" w:cstheme="majorHAnsi"/>
                <w:b/>
                <w:color w:val="212121"/>
                <w:sz w:val="18"/>
                <w:szCs w:val="18"/>
                <w:shd w:val="clear" w:color="auto" w:fill="FFFFFF"/>
                <w:lang w:val="en-US"/>
              </w:rPr>
              <w:t>programme</w:t>
            </w:r>
            <w:proofErr w:type="spellEnd"/>
            <w:r w:rsidR="00DC6ECA" w:rsidRPr="00DC6ECA">
              <w:rPr>
                <w:rFonts w:asciiTheme="majorHAnsi" w:hAnsiTheme="majorHAnsi" w:cstheme="majorHAnsi"/>
                <w:b/>
                <w:color w:val="212121"/>
                <w:sz w:val="18"/>
                <w:szCs w:val="18"/>
                <w:shd w:val="clear" w:color="auto" w:fill="FFFFFF"/>
                <w:lang w:val="en-US"/>
              </w:rPr>
              <w:t xml:space="preserve"> coordinator 24/11-</w:t>
            </w:r>
            <w:r w:rsidR="00C9277F">
              <w:rPr>
                <w:rFonts w:asciiTheme="majorHAnsi" w:hAnsiTheme="majorHAnsi" w:cstheme="majorHAnsi"/>
                <w:b/>
                <w:color w:val="212121"/>
                <w:sz w:val="18"/>
                <w:szCs w:val="18"/>
                <w:shd w:val="clear" w:color="auto" w:fill="FFFFFF"/>
                <w:lang w:val="en-US"/>
              </w:rPr>
              <w:t xml:space="preserve"> </w:t>
            </w:r>
            <w:r w:rsidR="00DC6ECA" w:rsidRPr="00DC6ECA">
              <w:rPr>
                <w:rFonts w:asciiTheme="majorHAnsi" w:hAnsiTheme="majorHAnsi" w:cstheme="majorHAnsi"/>
                <w:b/>
                <w:color w:val="212121"/>
                <w:sz w:val="18"/>
                <w:szCs w:val="18"/>
                <w:shd w:val="clear" w:color="auto" w:fill="FFFFFF"/>
                <w:lang w:val="en-US"/>
              </w:rPr>
              <w:t>8/12/2016</w:t>
            </w:r>
            <w:r w:rsidR="00DC6ECA">
              <w:rPr>
                <w:rFonts w:asciiTheme="majorHAnsi" w:hAnsiTheme="majorHAnsi" w:cstheme="majorHAnsi"/>
                <w:b/>
                <w:color w:val="212121"/>
                <w:sz w:val="18"/>
                <w:szCs w:val="18"/>
                <w:shd w:val="clear" w:color="auto" w:fill="FFFFFF"/>
                <w:lang w:val="en-US"/>
              </w:rPr>
              <w:t xml:space="preserve">. </w:t>
            </w:r>
            <w:r w:rsidR="00DC6ECA" w:rsidRPr="00DC6ECA">
              <w:rPr>
                <w:rFonts w:asciiTheme="majorHAnsi" w:hAnsiTheme="majorHAnsi" w:cstheme="majorHAnsi"/>
                <w:color w:val="212121"/>
                <w:sz w:val="18"/>
                <w:szCs w:val="18"/>
                <w:shd w:val="clear" w:color="auto" w:fill="FFFFFF"/>
                <w:lang w:val="en-US"/>
              </w:rPr>
              <w:t xml:space="preserve">The </w:t>
            </w:r>
            <w:r w:rsidR="00DC6ECA">
              <w:rPr>
                <w:rFonts w:asciiTheme="majorHAnsi" w:hAnsiTheme="majorHAnsi" w:cstheme="majorHAnsi"/>
                <w:color w:val="212121"/>
                <w:sz w:val="18"/>
                <w:szCs w:val="18"/>
                <w:shd w:val="clear" w:color="auto" w:fill="FFFFFF"/>
                <w:lang w:val="en-US"/>
              </w:rPr>
              <w:t xml:space="preserve">aim of the visit was to evaluate and to finalize the Pre-Partner </w:t>
            </w:r>
            <w:proofErr w:type="spellStart"/>
            <w:r w:rsidR="00DC6ECA">
              <w:rPr>
                <w:rFonts w:asciiTheme="majorHAnsi" w:hAnsiTheme="majorHAnsi" w:cstheme="majorHAnsi"/>
                <w:color w:val="212121"/>
                <w:sz w:val="18"/>
                <w:szCs w:val="18"/>
                <w:shd w:val="clear" w:color="auto" w:fill="FFFFFF"/>
                <w:lang w:val="en-US"/>
              </w:rPr>
              <w:t>Programme</w:t>
            </w:r>
            <w:proofErr w:type="spellEnd"/>
            <w:r w:rsidR="00DC6ECA">
              <w:rPr>
                <w:rFonts w:asciiTheme="majorHAnsi" w:hAnsiTheme="majorHAnsi" w:cstheme="majorHAnsi"/>
                <w:color w:val="212121"/>
                <w:sz w:val="18"/>
                <w:szCs w:val="18"/>
                <w:shd w:val="clear" w:color="auto" w:fill="FFFFFF"/>
                <w:lang w:val="en-US"/>
              </w:rPr>
              <w:t xml:space="preserve"> 2016, including next activities t</w:t>
            </w:r>
            <w:r w:rsidR="00DB7863">
              <w:rPr>
                <w:rFonts w:asciiTheme="majorHAnsi" w:hAnsiTheme="majorHAnsi" w:cstheme="majorHAnsi"/>
                <w:color w:val="212121"/>
                <w:sz w:val="18"/>
                <w:szCs w:val="18"/>
                <w:shd w:val="clear" w:color="auto" w:fill="FFFFFF"/>
                <w:lang w:val="en-US"/>
              </w:rPr>
              <w:t>hat needed t</w:t>
            </w:r>
            <w:r w:rsidR="00DC6ECA">
              <w:rPr>
                <w:rFonts w:asciiTheme="majorHAnsi" w:hAnsiTheme="majorHAnsi" w:cstheme="majorHAnsi"/>
                <w:color w:val="212121"/>
                <w:sz w:val="18"/>
                <w:szCs w:val="18"/>
                <w:shd w:val="clear" w:color="auto" w:fill="FFFFFF"/>
                <w:lang w:val="en-US"/>
              </w:rPr>
              <w:t xml:space="preserve">o </w:t>
            </w:r>
            <w:r w:rsidR="004F10A6">
              <w:rPr>
                <w:rFonts w:asciiTheme="majorHAnsi" w:hAnsiTheme="majorHAnsi" w:cstheme="majorHAnsi"/>
                <w:color w:val="212121"/>
                <w:sz w:val="18"/>
                <w:szCs w:val="18"/>
                <w:shd w:val="clear" w:color="auto" w:fill="FFFFFF"/>
                <w:lang w:val="en-US"/>
              </w:rPr>
              <w:t xml:space="preserve">be </w:t>
            </w:r>
            <w:r w:rsidR="00DC6ECA">
              <w:rPr>
                <w:rFonts w:asciiTheme="majorHAnsi" w:hAnsiTheme="majorHAnsi" w:cstheme="majorHAnsi"/>
                <w:color w:val="212121"/>
                <w:sz w:val="18"/>
                <w:szCs w:val="18"/>
                <w:shd w:val="clear" w:color="auto" w:fill="FFFFFF"/>
                <w:lang w:val="en-US"/>
              </w:rPr>
              <w:t>finish</w:t>
            </w:r>
            <w:r w:rsidR="004F10A6">
              <w:rPr>
                <w:rFonts w:asciiTheme="majorHAnsi" w:hAnsiTheme="majorHAnsi" w:cstheme="majorHAnsi"/>
                <w:color w:val="212121"/>
                <w:sz w:val="18"/>
                <w:szCs w:val="18"/>
                <w:shd w:val="clear" w:color="auto" w:fill="FFFFFF"/>
                <w:lang w:val="en-US"/>
              </w:rPr>
              <w:t>ed</w:t>
            </w:r>
            <w:r w:rsidR="00DC6ECA">
              <w:rPr>
                <w:rFonts w:asciiTheme="majorHAnsi" w:hAnsiTheme="majorHAnsi" w:cstheme="majorHAnsi"/>
                <w:color w:val="212121"/>
                <w:sz w:val="18"/>
                <w:szCs w:val="18"/>
                <w:shd w:val="clear" w:color="auto" w:fill="FFFFFF"/>
                <w:lang w:val="en-US"/>
              </w:rPr>
              <w:t xml:space="preserve">: 1.  </w:t>
            </w:r>
            <w:r w:rsidR="00CC3824">
              <w:rPr>
                <w:rFonts w:asciiTheme="majorHAnsi" w:hAnsiTheme="majorHAnsi" w:cstheme="majorHAnsi"/>
                <w:color w:val="212121"/>
                <w:sz w:val="18"/>
                <w:szCs w:val="18"/>
                <w:shd w:val="clear" w:color="auto" w:fill="FFFFFF"/>
                <w:lang w:val="en-US"/>
              </w:rPr>
              <w:t>P4 workshop (P4: theme project on human and indigenous rights and transformation of social conflicts) on 24-26 November 201</w:t>
            </w:r>
            <w:r w:rsidR="00C9277F">
              <w:rPr>
                <w:rFonts w:asciiTheme="majorHAnsi" w:hAnsiTheme="majorHAnsi" w:cstheme="majorHAnsi"/>
                <w:color w:val="212121"/>
                <w:sz w:val="18"/>
                <w:szCs w:val="18"/>
                <w:shd w:val="clear" w:color="auto" w:fill="FFFFFF"/>
                <w:lang w:val="en-US"/>
              </w:rPr>
              <w:t>6</w:t>
            </w:r>
            <w:r w:rsidR="00CC3824">
              <w:rPr>
                <w:rFonts w:asciiTheme="majorHAnsi" w:hAnsiTheme="majorHAnsi" w:cstheme="majorHAnsi"/>
                <w:color w:val="212121"/>
                <w:sz w:val="18"/>
                <w:szCs w:val="18"/>
                <w:shd w:val="clear" w:color="auto" w:fill="FFFFFF"/>
                <w:lang w:val="en-US"/>
              </w:rPr>
              <w:t xml:space="preserve">, to finalize and submit the revised project proposal to VLIR-UOS; 2. </w:t>
            </w:r>
            <w:r w:rsidR="00C9277F">
              <w:rPr>
                <w:rFonts w:asciiTheme="majorHAnsi" w:hAnsiTheme="majorHAnsi" w:cstheme="majorHAnsi"/>
                <w:color w:val="212121"/>
                <w:sz w:val="18"/>
                <w:szCs w:val="18"/>
                <w:shd w:val="clear" w:color="auto" w:fill="FFFFFF"/>
                <w:lang w:val="en-US"/>
              </w:rPr>
              <w:t xml:space="preserve">Revision of the Management Manual by the local and Flemish coordinator; 3. Organization of a Local Steering Committee at the UCB La Paz on 30 November 2016; 4. </w:t>
            </w:r>
            <w:r w:rsidR="00C9277F" w:rsidRPr="00C9277F">
              <w:rPr>
                <w:rFonts w:asciiTheme="majorHAnsi" w:hAnsiTheme="majorHAnsi" w:cstheme="majorHAnsi"/>
                <w:color w:val="212121"/>
                <w:sz w:val="18"/>
                <w:szCs w:val="18"/>
                <w:shd w:val="clear" w:color="auto" w:fill="FFFFFF"/>
                <w:lang w:val="en"/>
              </w:rPr>
              <w:t>P6 workshop (P6: transversal project on the development of a Collaborative Learning Community approach) on 5-6 December 2016 at the UCB Santa Cruz,</w:t>
            </w:r>
            <w:r w:rsidR="00C9277F">
              <w:rPr>
                <w:rFonts w:asciiTheme="majorHAnsi" w:hAnsiTheme="majorHAnsi" w:cstheme="majorHAnsi"/>
                <w:color w:val="212121"/>
                <w:sz w:val="18"/>
                <w:szCs w:val="18"/>
                <w:shd w:val="clear" w:color="auto" w:fill="FFFFFF"/>
                <w:lang w:val="en-US"/>
              </w:rPr>
              <w:t xml:space="preserve"> to discuss and plan the functioning of the regional TLC teams and the </w:t>
            </w:r>
            <w:r w:rsidR="004551D7">
              <w:rPr>
                <w:rFonts w:asciiTheme="majorHAnsi" w:hAnsiTheme="majorHAnsi" w:cstheme="majorHAnsi"/>
                <w:color w:val="212121"/>
                <w:sz w:val="18"/>
                <w:szCs w:val="18"/>
                <w:shd w:val="clear" w:color="auto" w:fill="FFFFFF"/>
                <w:lang w:val="en-US"/>
              </w:rPr>
              <w:t xml:space="preserve">implementation of the Collaborative Learning Community (CLC) approach in the different regions (see also </w:t>
            </w:r>
            <w:r w:rsidR="004551D7" w:rsidRPr="000F00C2">
              <w:rPr>
                <w:rFonts w:asciiTheme="majorHAnsi" w:hAnsiTheme="majorHAnsi" w:cstheme="majorHAnsi"/>
                <w:color w:val="212121"/>
                <w:sz w:val="18"/>
                <w:szCs w:val="18"/>
                <w:shd w:val="clear" w:color="auto" w:fill="FFFFFF"/>
                <w:lang w:val="en-US"/>
              </w:rPr>
              <w:t>annex 2, UC</w:t>
            </w:r>
            <w:r w:rsidR="004551D7">
              <w:rPr>
                <w:rFonts w:asciiTheme="majorHAnsi" w:hAnsiTheme="majorHAnsi" w:cstheme="majorHAnsi"/>
                <w:color w:val="212121"/>
                <w:sz w:val="18"/>
                <w:szCs w:val="18"/>
                <w:shd w:val="clear" w:color="auto" w:fill="FFFFFF"/>
                <w:lang w:val="en-US"/>
              </w:rPr>
              <w:t xml:space="preserve"> planning 2017).  </w:t>
            </w:r>
          </w:p>
        </w:tc>
      </w:tr>
    </w:tbl>
    <w:p w14:paraId="0D0D72E5" w14:textId="77777777" w:rsidR="004560CC" w:rsidRDefault="004560CC" w:rsidP="00CD0BCD">
      <w:pPr>
        <w:rPr>
          <w:lang w:val="en-GB"/>
        </w:rPr>
      </w:pPr>
    </w:p>
    <w:tbl>
      <w:tblPr>
        <w:tblStyle w:val="TableGrid"/>
        <w:tblW w:w="0" w:type="auto"/>
        <w:tblCellMar>
          <w:top w:w="57" w:type="dxa"/>
        </w:tblCellMar>
        <w:tblLook w:val="04A0" w:firstRow="1" w:lastRow="0" w:firstColumn="1" w:lastColumn="0" w:noHBand="0" w:noVBand="1"/>
      </w:tblPr>
      <w:tblGrid>
        <w:gridCol w:w="9212"/>
      </w:tblGrid>
      <w:tr w:rsidR="004560CC" w:rsidRPr="0071757C" w14:paraId="2F60753F" w14:textId="77777777" w:rsidTr="00456330">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57FD66E0" w14:textId="77777777" w:rsidR="004560CC" w:rsidRPr="00B05215" w:rsidRDefault="00482FF6" w:rsidP="00482FF6">
            <w:pPr>
              <w:spacing w:after="0"/>
              <w:rPr>
                <w:lang w:val="en-GB"/>
              </w:rPr>
            </w:pPr>
            <w:r>
              <w:rPr>
                <w:lang w:val="en-GB"/>
              </w:rPr>
              <w:t>Reflections, lessons learned, perspectives (general comments)</w:t>
            </w:r>
          </w:p>
        </w:tc>
      </w:tr>
      <w:tr w:rsidR="004560CC" w:rsidRPr="00114B17" w14:paraId="34E4A543" w14:textId="77777777" w:rsidTr="00456330">
        <w:tc>
          <w:tcPr>
            <w:tcW w:w="9212" w:type="dxa"/>
            <w:tcBorders>
              <w:top w:val="single" w:sz="4" w:space="0" w:color="9FA585"/>
              <w:left w:val="single" w:sz="4" w:space="0" w:color="9FA585"/>
              <w:bottom w:val="single" w:sz="4" w:space="0" w:color="9FA585"/>
              <w:right w:val="single" w:sz="4" w:space="0" w:color="9FA585"/>
            </w:tcBorders>
          </w:tcPr>
          <w:p w14:paraId="05E40594" w14:textId="569BC94C" w:rsidR="00F64DB6" w:rsidRDefault="000F00C2" w:rsidP="00F64DB6">
            <w:pPr>
              <w:spacing w:after="0" w:line="264" w:lineRule="auto"/>
              <w:rPr>
                <w:sz w:val="18"/>
                <w:lang w:val="en"/>
              </w:rPr>
            </w:pPr>
            <w:r>
              <w:rPr>
                <w:rFonts w:asciiTheme="majorHAnsi" w:hAnsiTheme="majorHAnsi" w:cstheme="majorHAnsi"/>
                <w:sz w:val="18"/>
                <w:lang w:val="en-GB"/>
              </w:rPr>
              <w:t xml:space="preserve">For the reflections and lessons learned, we refer to Part 3 in which we extensively </w:t>
            </w:r>
            <w:r w:rsidR="00F64DB6">
              <w:rPr>
                <w:rFonts w:asciiTheme="majorHAnsi" w:hAnsiTheme="majorHAnsi" w:cstheme="majorHAnsi"/>
                <w:sz w:val="18"/>
                <w:lang w:val="en-GB"/>
              </w:rPr>
              <w:t xml:space="preserve">discussed </w:t>
            </w:r>
            <w:r>
              <w:rPr>
                <w:rFonts w:asciiTheme="majorHAnsi" w:hAnsiTheme="majorHAnsi" w:cstheme="majorHAnsi"/>
                <w:sz w:val="18"/>
                <w:lang w:val="en-GB"/>
              </w:rPr>
              <w:t>th</w:t>
            </w:r>
            <w:r w:rsidR="002212CF">
              <w:rPr>
                <w:rFonts w:asciiTheme="majorHAnsi" w:hAnsiTheme="majorHAnsi" w:cstheme="majorHAnsi"/>
                <w:sz w:val="18"/>
                <w:lang w:val="en-GB"/>
              </w:rPr>
              <w:t xml:space="preserve">e </w:t>
            </w:r>
            <w:r w:rsidR="002212CF">
              <w:rPr>
                <w:sz w:val="18"/>
                <w:lang w:val="en"/>
              </w:rPr>
              <w:t>underestimated issues on (1) the required efforts and challenges to implement a Collaborative Learning Community (CLC) approach in a university context, and (2) the share and transfer of the ownership of the IUC programme</w:t>
            </w:r>
            <w:r w:rsidR="00F64DB6">
              <w:rPr>
                <w:sz w:val="18"/>
                <w:lang w:val="en"/>
              </w:rPr>
              <w:t xml:space="preserve">. Both issues are based on the lessons learned </w:t>
            </w:r>
            <w:r w:rsidR="002212CF">
              <w:rPr>
                <w:sz w:val="18"/>
                <w:lang w:val="en"/>
              </w:rPr>
              <w:t xml:space="preserve">throughout this prepatory period </w:t>
            </w:r>
            <w:r w:rsidR="00F64DB6">
              <w:rPr>
                <w:sz w:val="18"/>
                <w:lang w:val="en"/>
              </w:rPr>
              <w:t xml:space="preserve">and discussing the perspectives for the IUC programme. In discussing the underestimated issues, we also presented how we solved the reflections and concerns mentioned in the previous AP2015 report. </w:t>
            </w:r>
          </w:p>
          <w:p w14:paraId="6BD3BC1D" w14:textId="17B6B072" w:rsidR="004560CC" w:rsidRPr="00031A24" w:rsidRDefault="003E468F" w:rsidP="00F64DB6">
            <w:pPr>
              <w:spacing w:after="0" w:line="264" w:lineRule="auto"/>
              <w:rPr>
                <w:i/>
                <w:sz w:val="18"/>
                <w:lang w:val="en-GB"/>
              </w:rPr>
            </w:pPr>
            <w:r>
              <w:rPr>
                <w:rFonts w:asciiTheme="majorHAnsi" w:hAnsiTheme="majorHAnsi" w:cstheme="majorHAnsi"/>
                <w:color w:val="212121"/>
                <w:sz w:val="18"/>
                <w:szCs w:val="18"/>
                <w:lang w:val="en"/>
              </w:rPr>
              <w:t xml:space="preserve"> </w:t>
            </w:r>
          </w:p>
        </w:tc>
      </w:tr>
    </w:tbl>
    <w:p w14:paraId="42A4D794" w14:textId="77777777" w:rsidR="004560CC" w:rsidRDefault="004560CC" w:rsidP="00CD0BCD">
      <w:pPr>
        <w:rPr>
          <w:lang w:val="en-GB"/>
        </w:rPr>
      </w:pPr>
    </w:p>
    <w:tbl>
      <w:tblPr>
        <w:tblStyle w:val="TableGrid"/>
        <w:tblW w:w="0" w:type="auto"/>
        <w:tblCellMar>
          <w:top w:w="57" w:type="dxa"/>
        </w:tblCellMar>
        <w:tblLook w:val="04A0" w:firstRow="1" w:lastRow="0" w:firstColumn="1" w:lastColumn="0" w:noHBand="0" w:noVBand="1"/>
      </w:tblPr>
      <w:tblGrid>
        <w:gridCol w:w="9212"/>
      </w:tblGrid>
      <w:tr w:rsidR="004560CC" w:rsidRPr="00114B17" w14:paraId="16C2207F" w14:textId="77777777" w:rsidTr="00456330">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48EF133E" w14:textId="77777777" w:rsidR="004560CC" w:rsidRPr="00B05215" w:rsidRDefault="004560CC" w:rsidP="00456330">
            <w:pPr>
              <w:spacing w:after="0"/>
              <w:rPr>
                <w:lang w:val="en-GB"/>
              </w:rPr>
            </w:pPr>
            <w:r>
              <w:rPr>
                <w:lang w:val="en-GB"/>
              </w:rPr>
              <w:t>Comments on the budget</w:t>
            </w:r>
            <w:r w:rsidR="00482FF6">
              <w:rPr>
                <w:lang w:val="en-GB"/>
              </w:rPr>
              <w:t xml:space="preserve"> and eventual changes as compared to the original plan</w:t>
            </w:r>
          </w:p>
        </w:tc>
      </w:tr>
      <w:tr w:rsidR="004560CC" w:rsidRPr="00114B17" w14:paraId="07841F94" w14:textId="77777777" w:rsidTr="00456330">
        <w:tc>
          <w:tcPr>
            <w:tcW w:w="9212" w:type="dxa"/>
            <w:tcBorders>
              <w:top w:val="single" w:sz="4" w:space="0" w:color="9FA585"/>
              <w:left w:val="single" w:sz="4" w:space="0" w:color="9FA585"/>
              <w:bottom w:val="single" w:sz="4" w:space="0" w:color="9FA585"/>
              <w:right w:val="single" w:sz="4" w:space="0" w:color="9FA585"/>
            </w:tcBorders>
          </w:tcPr>
          <w:p w14:paraId="6885DE19" w14:textId="77777777" w:rsidR="0071757C" w:rsidRPr="0071757C" w:rsidRDefault="0071757C" w:rsidP="0071757C">
            <w:pPr>
              <w:rPr>
                <w:b/>
                <w:sz w:val="18"/>
                <w:szCs w:val="18"/>
                <w:u w:val="single"/>
                <w:lang w:val="en-GB"/>
              </w:rPr>
            </w:pPr>
            <w:r w:rsidRPr="0071757C">
              <w:rPr>
                <w:b/>
                <w:sz w:val="18"/>
                <w:szCs w:val="18"/>
                <w:u w:val="single"/>
                <w:lang w:val="en-GB"/>
              </w:rPr>
              <w:t>Budget Execution</w:t>
            </w:r>
          </w:p>
          <w:p w14:paraId="72A642D1" w14:textId="273E85CB" w:rsidR="0071757C" w:rsidRPr="0071757C" w:rsidRDefault="00C65200" w:rsidP="0071757C">
            <w:pPr>
              <w:rPr>
                <w:sz w:val="18"/>
                <w:szCs w:val="18"/>
                <w:lang w:val="en-GB"/>
              </w:rPr>
            </w:pPr>
            <w:r>
              <w:rPr>
                <w:sz w:val="18"/>
                <w:szCs w:val="18"/>
                <w:lang w:val="en-GB"/>
              </w:rPr>
              <w:t>As an annex, the AFR of AP 2016</w:t>
            </w:r>
            <w:r w:rsidR="0071757C">
              <w:rPr>
                <w:sz w:val="18"/>
                <w:szCs w:val="18"/>
                <w:lang w:val="en-GB"/>
              </w:rPr>
              <w:t xml:space="preserve"> </w:t>
            </w:r>
            <w:r w:rsidR="005C4382">
              <w:rPr>
                <w:sz w:val="18"/>
                <w:szCs w:val="18"/>
                <w:lang w:val="en-GB"/>
              </w:rPr>
              <w:t xml:space="preserve">is included. The expenses made </w:t>
            </w:r>
            <w:r>
              <w:rPr>
                <w:sz w:val="18"/>
                <w:szCs w:val="18"/>
                <w:lang w:val="en-GB"/>
              </w:rPr>
              <w:t>from April</w:t>
            </w:r>
            <w:r w:rsidR="005C4382">
              <w:rPr>
                <w:sz w:val="18"/>
                <w:szCs w:val="18"/>
                <w:lang w:val="en-GB"/>
              </w:rPr>
              <w:t xml:space="preserve"> 2016 </w:t>
            </w:r>
            <w:r>
              <w:rPr>
                <w:sz w:val="18"/>
                <w:szCs w:val="18"/>
                <w:lang w:val="en-GB"/>
              </w:rPr>
              <w:t xml:space="preserve">onwards </w:t>
            </w:r>
            <w:r w:rsidR="005C4382">
              <w:rPr>
                <w:sz w:val="18"/>
                <w:szCs w:val="18"/>
                <w:lang w:val="en-GB"/>
              </w:rPr>
              <w:t xml:space="preserve">were </w:t>
            </w:r>
            <w:r w:rsidR="0071757C" w:rsidRPr="0071757C">
              <w:rPr>
                <w:sz w:val="18"/>
                <w:szCs w:val="18"/>
                <w:lang w:val="en-GB"/>
              </w:rPr>
              <w:t>in general</w:t>
            </w:r>
            <w:r>
              <w:rPr>
                <w:sz w:val="18"/>
                <w:szCs w:val="18"/>
                <w:lang w:val="en-GB"/>
              </w:rPr>
              <w:t xml:space="preserve"> related to further investments in Bolivia. Expenses in Belgium were limited to the travel of the programme manager and financial representative of the UCB to Brussel and travel expenses of the coordinator. </w:t>
            </w:r>
          </w:p>
          <w:p w14:paraId="6F5E2EAE" w14:textId="6C043E92" w:rsidR="0071757C" w:rsidRPr="000F2EDF" w:rsidRDefault="005C4382" w:rsidP="0071757C">
            <w:pPr>
              <w:pStyle w:val="ListParagraph"/>
              <w:numPr>
                <w:ilvl w:val="0"/>
                <w:numId w:val="49"/>
              </w:numPr>
              <w:rPr>
                <w:sz w:val="18"/>
                <w:szCs w:val="18"/>
              </w:rPr>
            </w:pPr>
            <w:r>
              <w:rPr>
                <w:sz w:val="18"/>
                <w:szCs w:val="18"/>
              </w:rPr>
              <w:t>B Line Operational Costs:</w:t>
            </w:r>
            <w:r w:rsidR="0071757C" w:rsidRPr="000F2EDF">
              <w:rPr>
                <w:sz w:val="18"/>
                <w:szCs w:val="18"/>
              </w:rPr>
              <w:t xml:space="preserve"> payments of air plane tickets, transfers, hotels payments, per</w:t>
            </w:r>
            <w:r>
              <w:rPr>
                <w:sz w:val="18"/>
                <w:szCs w:val="18"/>
              </w:rPr>
              <w:t xml:space="preserve"> </w:t>
            </w:r>
            <w:r w:rsidR="0071757C" w:rsidRPr="000F2EDF">
              <w:rPr>
                <w:sz w:val="18"/>
                <w:szCs w:val="18"/>
              </w:rPr>
              <w:t xml:space="preserve">diems or day allowance, some material for the workshops, coffee </w:t>
            </w:r>
            <w:proofErr w:type="gramStart"/>
            <w:r w:rsidR="0071757C" w:rsidRPr="000F2EDF">
              <w:rPr>
                <w:sz w:val="18"/>
                <w:szCs w:val="18"/>
              </w:rPr>
              <w:t>breaks</w:t>
            </w:r>
            <w:r>
              <w:rPr>
                <w:sz w:val="18"/>
                <w:szCs w:val="18"/>
              </w:rPr>
              <w:t>,…</w:t>
            </w:r>
            <w:proofErr w:type="gramEnd"/>
            <w:r w:rsidR="0071757C" w:rsidRPr="000F2EDF">
              <w:rPr>
                <w:sz w:val="18"/>
                <w:szCs w:val="18"/>
              </w:rPr>
              <w:t xml:space="preserve">  </w:t>
            </w:r>
          </w:p>
          <w:p w14:paraId="0B31B27D" w14:textId="714F8B7C" w:rsidR="0071757C" w:rsidRPr="000F2EDF" w:rsidRDefault="0071757C" w:rsidP="0071757C">
            <w:pPr>
              <w:pStyle w:val="ListParagraph"/>
              <w:numPr>
                <w:ilvl w:val="0"/>
                <w:numId w:val="49"/>
              </w:numPr>
              <w:rPr>
                <w:sz w:val="18"/>
                <w:szCs w:val="18"/>
              </w:rPr>
            </w:pPr>
            <w:r w:rsidRPr="000F2EDF">
              <w:rPr>
                <w:sz w:val="18"/>
                <w:szCs w:val="18"/>
              </w:rPr>
              <w:t xml:space="preserve">In Line </w:t>
            </w:r>
            <w:proofErr w:type="gramStart"/>
            <w:r w:rsidRPr="000F2EDF">
              <w:rPr>
                <w:sz w:val="18"/>
                <w:szCs w:val="18"/>
              </w:rPr>
              <w:t>A</w:t>
            </w:r>
            <w:proofErr w:type="gramEnd"/>
            <w:r w:rsidRPr="000F2EDF">
              <w:rPr>
                <w:sz w:val="18"/>
                <w:szCs w:val="18"/>
              </w:rPr>
              <w:t xml:space="preserve"> Investments</w:t>
            </w:r>
            <w:r w:rsidR="005C4382">
              <w:rPr>
                <w:sz w:val="18"/>
                <w:szCs w:val="18"/>
              </w:rPr>
              <w:t xml:space="preserve">: </w:t>
            </w:r>
            <w:r w:rsidR="00C65200">
              <w:rPr>
                <w:sz w:val="18"/>
                <w:szCs w:val="18"/>
              </w:rPr>
              <w:t>computers, ICT material and furniture were bought</w:t>
            </w:r>
          </w:p>
          <w:p w14:paraId="0C9920D5" w14:textId="2109A00E" w:rsidR="0071757C" w:rsidRDefault="0071757C" w:rsidP="0071757C">
            <w:pPr>
              <w:pStyle w:val="ListParagraph"/>
              <w:numPr>
                <w:ilvl w:val="0"/>
                <w:numId w:val="49"/>
              </w:numPr>
              <w:rPr>
                <w:sz w:val="18"/>
                <w:szCs w:val="18"/>
              </w:rPr>
            </w:pPr>
            <w:r w:rsidRPr="000F2EDF">
              <w:rPr>
                <w:sz w:val="18"/>
                <w:szCs w:val="18"/>
              </w:rPr>
              <w:t>C Personal Costs</w:t>
            </w:r>
            <w:r w:rsidR="005C4382">
              <w:rPr>
                <w:sz w:val="18"/>
                <w:szCs w:val="18"/>
              </w:rPr>
              <w:t>:</w:t>
            </w:r>
            <w:r w:rsidRPr="000F2EDF">
              <w:rPr>
                <w:sz w:val="18"/>
                <w:szCs w:val="18"/>
              </w:rPr>
              <w:t xml:space="preserve"> cover</w:t>
            </w:r>
            <w:r w:rsidR="005C4382">
              <w:rPr>
                <w:sz w:val="18"/>
                <w:szCs w:val="18"/>
              </w:rPr>
              <w:t>s</w:t>
            </w:r>
            <w:r w:rsidRPr="000F2EDF">
              <w:rPr>
                <w:sz w:val="18"/>
                <w:szCs w:val="18"/>
              </w:rPr>
              <w:t xml:space="preserve"> the salary of</w:t>
            </w:r>
            <w:r w:rsidR="005C4382">
              <w:rPr>
                <w:sz w:val="18"/>
                <w:szCs w:val="18"/>
              </w:rPr>
              <w:t xml:space="preserve"> the</w:t>
            </w:r>
            <w:r w:rsidR="00C65200">
              <w:rPr>
                <w:sz w:val="18"/>
                <w:szCs w:val="18"/>
              </w:rPr>
              <w:t xml:space="preserve"> </w:t>
            </w:r>
            <w:proofErr w:type="spellStart"/>
            <w:r w:rsidR="00C65200">
              <w:rPr>
                <w:sz w:val="18"/>
                <w:szCs w:val="18"/>
              </w:rPr>
              <w:t>Programme</w:t>
            </w:r>
            <w:proofErr w:type="spellEnd"/>
            <w:r w:rsidR="00C65200">
              <w:rPr>
                <w:sz w:val="18"/>
                <w:szCs w:val="18"/>
              </w:rPr>
              <w:t xml:space="preserve"> Manager from </w:t>
            </w:r>
            <w:proofErr w:type="spellStart"/>
            <w:r w:rsidR="00C65200">
              <w:rPr>
                <w:sz w:val="18"/>
                <w:szCs w:val="18"/>
              </w:rPr>
              <w:t>april</w:t>
            </w:r>
            <w:proofErr w:type="spellEnd"/>
            <w:r w:rsidR="00C65200">
              <w:rPr>
                <w:sz w:val="18"/>
                <w:szCs w:val="18"/>
              </w:rPr>
              <w:t xml:space="preserve"> onwards </w:t>
            </w:r>
          </w:p>
          <w:p w14:paraId="698D406D" w14:textId="2633DCD7" w:rsidR="0071757C" w:rsidRDefault="0071757C" w:rsidP="00DE7456">
            <w:pPr>
              <w:rPr>
                <w:sz w:val="18"/>
                <w:szCs w:val="18"/>
              </w:rPr>
            </w:pPr>
          </w:p>
          <w:p w14:paraId="19E88006" w14:textId="3158E713" w:rsidR="004560CC" w:rsidRPr="00B05215" w:rsidRDefault="00DE7456" w:rsidP="00DE7456">
            <w:pPr>
              <w:rPr>
                <w:sz w:val="18"/>
                <w:lang w:val="en-GB"/>
              </w:rPr>
            </w:pPr>
            <w:r w:rsidRPr="00DE7456">
              <w:rPr>
                <w:sz w:val="18"/>
                <w:szCs w:val="18"/>
                <w:lang w:val="en-US"/>
              </w:rPr>
              <w:t xml:space="preserve">There is a slight misalignment between the planned budget and expenditures, and more specifically in the personal and investments costs.  However, this </w:t>
            </w:r>
            <w:r>
              <w:rPr>
                <w:sz w:val="18"/>
                <w:szCs w:val="18"/>
                <w:lang w:val="en-US"/>
              </w:rPr>
              <w:t>misalignment is limited to 12%, so not bud</w:t>
            </w:r>
            <w:bookmarkStart w:id="1" w:name="_GoBack"/>
            <w:bookmarkEnd w:id="1"/>
            <w:r>
              <w:rPr>
                <w:sz w:val="18"/>
                <w:szCs w:val="18"/>
                <w:lang w:val="en-US"/>
              </w:rPr>
              <w:t xml:space="preserve">get change was required. </w:t>
            </w:r>
          </w:p>
        </w:tc>
      </w:tr>
    </w:tbl>
    <w:p w14:paraId="39D1BBE7" w14:textId="3A74D7D9" w:rsidR="0053451D" w:rsidRDefault="001E54B6" w:rsidP="001E54B6">
      <w:pPr>
        <w:pStyle w:val="Heading2"/>
        <w:ind w:left="360"/>
      </w:pPr>
      <w:r>
        <w:lastRenderedPageBreak/>
        <w:t xml:space="preserve">5. </w:t>
      </w:r>
      <w:r w:rsidR="0053451D" w:rsidRPr="00B05215">
        <w:t>Annexes to be added</w:t>
      </w:r>
    </w:p>
    <w:tbl>
      <w:tblPr>
        <w:tblStyle w:val="TableGrid"/>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2762"/>
        <w:gridCol w:w="6300"/>
      </w:tblGrid>
      <w:tr w:rsidR="008952E1" w:rsidRPr="00B05215" w14:paraId="453DBB25" w14:textId="77777777" w:rsidTr="006A7741">
        <w:tc>
          <w:tcPr>
            <w:tcW w:w="9062" w:type="dxa"/>
            <w:gridSpan w:val="2"/>
            <w:shd w:val="clear" w:color="auto" w:fill="9FA585"/>
          </w:tcPr>
          <w:p w14:paraId="3E224F01" w14:textId="77777777" w:rsidR="008952E1" w:rsidRPr="00B05215" w:rsidRDefault="00C60F2F" w:rsidP="00456330">
            <w:pPr>
              <w:spacing w:after="0"/>
              <w:rPr>
                <w:lang w:val="en-GB"/>
              </w:rPr>
            </w:pPr>
            <w:r>
              <w:rPr>
                <w:lang w:val="en-GB"/>
              </w:rPr>
              <w:t xml:space="preserve">By the </w:t>
            </w:r>
            <w:r w:rsidR="008952E1">
              <w:rPr>
                <w:lang w:val="en-GB"/>
              </w:rPr>
              <w:t>promoters</w:t>
            </w:r>
          </w:p>
        </w:tc>
      </w:tr>
      <w:tr w:rsidR="00BA0188" w:rsidRPr="00BC65D9" w14:paraId="65D7912F" w14:textId="77777777" w:rsidTr="006A7741">
        <w:trPr>
          <w:trHeight w:val="100"/>
        </w:trPr>
        <w:tc>
          <w:tcPr>
            <w:tcW w:w="2762" w:type="dxa"/>
          </w:tcPr>
          <w:p w14:paraId="6C4155DA" w14:textId="77777777" w:rsidR="00BA0188" w:rsidDel="001B1F1B" w:rsidRDefault="00BA0188" w:rsidP="004560CC">
            <w:pPr>
              <w:spacing w:after="0"/>
              <w:rPr>
                <w:sz w:val="18"/>
                <w:lang w:val="en-GB"/>
              </w:rPr>
            </w:pPr>
            <w:r>
              <w:rPr>
                <w:sz w:val="18"/>
                <w:lang w:val="en-GB"/>
              </w:rPr>
              <w:t xml:space="preserve">Annex </w:t>
            </w:r>
            <w:r w:rsidR="004560CC">
              <w:rPr>
                <w:sz w:val="18"/>
                <w:lang w:val="en-GB"/>
              </w:rPr>
              <w:t>1</w:t>
            </w:r>
            <w:r>
              <w:rPr>
                <w:sz w:val="18"/>
                <w:lang w:val="en-GB"/>
              </w:rPr>
              <w:t>: OP</w:t>
            </w:r>
          </w:p>
        </w:tc>
        <w:tc>
          <w:tcPr>
            <w:tcW w:w="6300" w:type="dxa"/>
          </w:tcPr>
          <w:p w14:paraId="21877D1D" w14:textId="77777777" w:rsidR="00BA0188" w:rsidDel="001B1F1B" w:rsidRDefault="004560CC" w:rsidP="00482FF6">
            <w:pPr>
              <w:spacing w:after="0"/>
              <w:rPr>
                <w:sz w:val="18"/>
                <w:lang w:val="en-GB"/>
              </w:rPr>
            </w:pPr>
            <w:r>
              <w:rPr>
                <w:sz w:val="18"/>
                <w:lang w:val="en-GB"/>
              </w:rPr>
              <w:t>O</w:t>
            </w:r>
            <w:r w:rsidR="00BA0188">
              <w:rPr>
                <w:sz w:val="18"/>
                <w:lang w:val="en-GB"/>
              </w:rPr>
              <w:t xml:space="preserve">perational </w:t>
            </w:r>
            <w:r w:rsidR="00482FF6">
              <w:rPr>
                <w:sz w:val="18"/>
                <w:lang w:val="en-GB"/>
              </w:rPr>
              <w:t>report</w:t>
            </w:r>
          </w:p>
        </w:tc>
      </w:tr>
      <w:tr w:rsidR="00482FF6" w:rsidRPr="00114B17" w14:paraId="00FDC19C" w14:textId="77777777" w:rsidTr="006A7741">
        <w:trPr>
          <w:trHeight w:val="100"/>
        </w:trPr>
        <w:tc>
          <w:tcPr>
            <w:tcW w:w="2762" w:type="dxa"/>
          </w:tcPr>
          <w:p w14:paraId="19E99523" w14:textId="77777777" w:rsidR="00482FF6" w:rsidRDefault="00482FF6" w:rsidP="004560CC">
            <w:pPr>
              <w:spacing w:after="0"/>
              <w:rPr>
                <w:sz w:val="18"/>
                <w:lang w:val="en-GB"/>
              </w:rPr>
            </w:pPr>
            <w:r>
              <w:rPr>
                <w:sz w:val="18"/>
                <w:lang w:val="en-GB"/>
              </w:rPr>
              <w:t>Annex 2</w:t>
            </w:r>
          </w:p>
        </w:tc>
        <w:tc>
          <w:tcPr>
            <w:tcW w:w="6300" w:type="dxa"/>
          </w:tcPr>
          <w:p w14:paraId="310B2A1F" w14:textId="77777777" w:rsidR="00482FF6" w:rsidRPr="00482FF6" w:rsidRDefault="00482FF6" w:rsidP="00482FF6">
            <w:pPr>
              <w:spacing w:after="0"/>
              <w:rPr>
                <w:sz w:val="18"/>
                <w:lang w:val="en-GB"/>
              </w:rPr>
            </w:pPr>
            <w:r w:rsidRPr="00482FF6">
              <w:rPr>
                <w:sz w:val="18"/>
                <w:lang w:val="en-GB"/>
              </w:rPr>
              <w:t>•</w:t>
            </w:r>
            <w:r w:rsidRPr="00482FF6">
              <w:rPr>
                <w:sz w:val="18"/>
                <w:lang w:val="en-GB"/>
              </w:rPr>
              <w:tab/>
              <w:t xml:space="preserve">pictures, videos or other </w:t>
            </w:r>
            <w:proofErr w:type="spellStart"/>
            <w:r w:rsidRPr="00482FF6">
              <w:rPr>
                <w:sz w:val="18"/>
                <w:lang w:val="en-GB"/>
              </w:rPr>
              <w:t>audiovisual</w:t>
            </w:r>
            <w:proofErr w:type="spellEnd"/>
            <w:r w:rsidRPr="00482FF6">
              <w:rPr>
                <w:sz w:val="18"/>
                <w:lang w:val="en-GB"/>
              </w:rPr>
              <w:t xml:space="preserve"> materials </w:t>
            </w:r>
            <w:r>
              <w:rPr>
                <w:sz w:val="18"/>
                <w:lang w:val="en-GB"/>
              </w:rPr>
              <w:t>(</w:t>
            </w:r>
            <w:r w:rsidRPr="00482FF6">
              <w:rPr>
                <w:i/>
                <w:sz w:val="18"/>
                <w:lang w:val="en-GB"/>
              </w:rPr>
              <w:t>if not yet delivered</w:t>
            </w:r>
            <w:r>
              <w:rPr>
                <w:sz w:val="18"/>
                <w:lang w:val="en-GB"/>
              </w:rPr>
              <w:t>)</w:t>
            </w:r>
          </w:p>
          <w:p w14:paraId="145BA8E7" w14:textId="77777777" w:rsidR="00482FF6" w:rsidRPr="00482FF6" w:rsidRDefault="00482FF6" w:rsidP="00482FF6">
            <w:pPr>
              <w:spacing w:after="0"/>
              <w:rPr>
                <w:sz w:val="18"/>
                <w:lang w:val="en-GB"/>
              </w:rPr>
            </w:pPr>
            <w:r w:rsidRPr="00482FF6">
              <w:rPr>
                <w:sz w:val="18"/>
                <w:lang w:val="en-GB"/>
              </w:rPr>
              <w:t>•</w:t>
            </w:r>
            <w:r w:rsidRPr="00482FF6">
              <w:rPr>
                <w:sz w:val="18"/>
                <w:lang w:val="en-GB"/>
              </w:rPr>
              <w:tab/>
              <w:t xml:space="preserve">reports on official events/visits, press releases, presentations/formulation mission </w:t>
            </w:r>
            <w:proofErr w:type="gramStart"/>
            <w:r w:rsidRPr="00482FF6">
              <w:rPr>
                <w:sz w:val="18"/>
                <w:lang w:val="en-GB"/>
              </w:rPr>
              <w:t>event  etc.</w:t>
            </w:r>
            <w:proofErr w:type="gramEnd"/>
            <w:r w:rsidRPr="00482FF6">
              <w:rPr>
                <w:sz w:val="18"/>
                <w:lang w:val="en-GB"/>
              </w:rPr>
              <w:t xml:space="preserve"> </w:t>
            </w:r>
            <w:r w:rsidRPr="00482FF6">
              <w:rPr>
                <w:i/>
                <w:sz w:val="18"/>
                <w:lang w:val="en-GB"/>
              </w:rPr>
              <w:t>(if not yet delivered)</w:t>
            </w:r>
          </w:p>
          <w:p w14:paraId="1B6B5DE4" w14:textId="77777777" w:rsidR="00482FF6" w:rsidRDefault="00482FF6" w:rsidP="00482FF6">
            <w:pPr>
              <w:spacing w:after="0"/>
              <w:rPr>
                <w:sz w:val="18"/>
                <w:lang w:val="en-GB"/>
              </w:rPr>
            </w:pPr>
            <w:r w:rsidRPr="00482FF6">
              <w:rPr>
                <w:sz w:val="18"/>
                <w:lang w:val="en-GB"/>
              </w:rPr>
              <w:t>•</w:t>
            </w:r>
            <w:r w:rsidRPr="00482FF6">
              <w:rPr>
                <w:sz w:val="18"/>
                <w:lang w:val="en-GB"/>
              </w:rPr>
              <w:tab/>
            </w:r>
            <w:r>
              <w:rPr>
                <w:sz w:val="18"/>
                <w:lang w:val="en-GB"/>
              </w:rPr>
              <w:t>overview</w:t>
            </w:r>
            <w:r w:rsidRPr="00482FF6">
              <w:rPr>
                <w:sz w:val="18"/>
                <w:lang w:val="en-GB"/>
              </w:rPr>
              <w:t xml:space="preserve"> of participants</w:t>
            </w:r>
            <w:r>
              <w:rPr>
                <w:sz w:val="18"/>
                <w:lang w:val="en-GB"/>
              </w:rPr>
              <w:t xml:space="preserve"> in formulation mission </w:t>
            </w:r>
            <w:r w:rsidRPr="00482FF6">
              <w:rPr>
                <w:i/>
                <w:sz w:val="18"/>
                <w:lang w:val="en-GB"/>
              </w:rPr>
              <w:t>(if not yet delivered)</w:t>
            </w:r>
          </w:p>
        </w:tc>
      </w:tr>
      <w:tr w:rsidR="00482FF6" w:rsidRPr="00114B17" w14:paraId="18C272CC" w14:textId="77777777" w:rsidTr="006A7741">
        <w:trPr>
          <w:trHeight w:val="100"/>
        </w:trPr>
        <w:tc>
          <w:tcPr>
            <w:tcW w:w="2762" w:type="dxa"/>
          </w:tcPr>
          <w:p w14:paraId="21F91F9E" w14:textId="77777777" w:rsidR="00482FF6" w:rsidRDefault="00482FF6" w:rsidP="004560CC">
            <w:pPr>
              <w:spacing w:after="0"/>
              <w:rPr>
                <w:sz w:val="18"/>
                <w:lang w:val="en-GB"/>
              </w:rPr>
            </w:pPr>
            <w:r>
              <w:rPr>
                <w:sz w:val="18"/>
                <w:lang w:val="en-GB"/>
              </w:rPr>
              <w:t>Annex AFR per Activity Year</w:t>
            </w:r>
          </w:p>
        </w:tc>
        <w:tc>
          <w:tcPr>
            <w:tcW w:w="6300" w:type="dxa"/>
          </w:tcPr>
          <w:p w14:paraId="6D3EAEBD" w14:textId="7F4C92CE" w:rsidR="00482FF6" w:rsidRPr="0006491C" w:rsidRDefault="00C3269A" w:rsidP="001E54B6">
            <w:pPr>
              <w:spacing w:after="0"/>
              <w:jc w:val="left"/>
              <w:rPr>
                <w:sz w:val="18"/>
                <w:szCs w:val="18"/>
                <w:lang w:val="en-GB"/>
              </w:rPr>
            </w:pPr>
            <w:r w:rsidRPr="0006491C">
              <w:rPr>
                <w:sz w:val="18"/>
                <w:szCs w:val="18"/>
                <w:lang w:val="en-GB"/>
              </w:rPr>
              <w:t xml:space="preserve">The financial spreadsheets are posted on the new VLIR-UOS website, as also </w:t>
            </w:r>
            <w:proofErr w:type="gramStart"/>
            <w:r w:rsidRPr="0006491C">
              <w:rPr>
                <w:sz w:val="18"/>
                <w:szCs w:val="18"/>
                <w:lang w:val="en-GB"/>
              </w:rPr>
              <w:t>a number of</w:t>
            </w:r>
            <w:proofErr w:type="gramEnd"/>
            <w:r w:rsidRPr="0006491C">
              <w:rPr>
                <w:sz w:val="18"/>
                <w:szCs w:val="18"/>
                <w:lang w:val="en-GB"/>
              </w:rPr>
              <w:t xml:space="preserve"> instructions and guidelines  </w:t>
            </w:r>
            <w:hyperlink r:id="rId12" w:history="1">
              <w:r w:rsidRPr="0006491C">
                <w:rPr>
                  <w:rStyle w:val="Hyperlink"/>
                  <w:sz w:val="18"/>
                  <w:szCs w:val="18"/>
                  <w:lang w:val="en-GB"/>
                </w:rPr>
                <w:t>http://www.vliruos.be/iucguidelines</w:t>
              </w:r>
            </w:hyperlink>
          </w:p>
        </w:tc>
      </w:tr>
    </w:tbl>
    <w:p w14:paraId="1194346D" w14:textId="77777777" w:rsidR="00981016" w:rsidRPr="00B05215" w:rsidRDefault="00981016" w:rsidP="00F5389C">
      <w:pPr>
        <w:spacing w:after="0"/>
        <w:jc w:val="left"/>
        <w:rPr>
          <w:lang w:val="en-GB"/>
        </w:rPr>
      </w:pPr>
    </w:p>
    <w:sectPr w:rsidR="00981016" w:rsidRPr="00B05215" w:rsidSect="002F0526">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5C908" w14:textId="77777777" w:rsidR="008D084B" w:rsidRDefault="008D084B" w:rsidP="00456F51">
      <w:r>
        <w:separator/>
      </w:r>
    </w:p>
  </w:endnote>
  <w:endnote w:type="continuationSeparator" w:id="0">
    <w:p w14:paraId="6C7302D8" w14:textId="77777777" w:rsidR="008D084B" w:rsidRDefault="008D084B"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0F00C2" w14:paraId="02A8FC52" w14:textId="77777777" w:rsidTr="00AB25A4">
      <w:trPr>
        <w:jc w:val="right"/>
      </w:trPr>
      <w:tc>
        <w:tcPr>
          <w:tcW w:w="8330" w:type="dxa"/>
        </w:tcPr>
        <w:p w14:paraId="0D9DE20E" w14:textId="331FDFEE" w:rsidR="000F00C2" w:rsidRPr="00E35B00" w:rsidRDefault="000F00C2" w:rsidP="001D1EC6">
          <w:pPr>
            <w:pStyle w:val="Footer"/>
            <w:jc w:val="center"/>
            <w:rPr>
              <w:rStyle w:val="PageNumber"/>
              <w:lang w:val="en-US"/>
            </w:rPr>
          </w:pPr>
          <w:proofErr w:type="gramStart"/>
          <w:r>
            <w:rPr>
              <w:rStyle w:val="PageNumber"/>
              <w:lang w:val="en-US"/>
            </w:rPr>
            <w:t xml:space="preserve">Report </w:t>
          </w:r>
          <w:r w:rsidRPr="00E35B00">
            <w:rPr>
              <w:rStyle w:val="PageNumber"/>
              <w:lang w:val="en-US"/>
            </w:rPr>
            <w:t xml:space="preserve"> </w:t>
          </w:r>
          <w:r>
            <w:rPr>
              <w:rStyle w:val="PageNumber"/>
              <w:lang w:val="en-US"/>
            </w:rPr>
            <w:t>IUC</w:t>
          </w:r>
          <w:proofErr w:type="gramEnd"/>
          <w:r>
            <w:rPr>
              <w:rStyle w:val="PageNumber"/>
              <w:lang w:val="en-US"/>
            </w:rPr>
            <w:t xml:space="preserve"> Pre-Partner </w:t>
          </w:r>
          <w:proofErr w:type="spellStart"/>
          <w:r>
            <w:rPr>
              <w:rStyle w:val="PageNumber"/>
              <w:lang w:val="en-US"/>
            </w:rPr>
            <w:t>Programme</w:t>
          </w:r>
          <w:proofErr w:type="spellEnd"/>
          <w:r>
            <w:rPr>
              <w:rStyle w:val="PageNumber"/>
              <w:lang w:val="en-US"/>
            </w:rPr>
            <w:t xml:space="preserve"> UCB – Bolivia – AP 2016</w:t>
          </w:r>
        </w:p>
      </w:tc>
      <w:tc>
        <w:tcPr>
          <w:tcW w:w="850" w:type="dxa"/>
        </w:tcPr>
        <w:p w14:paraId="7CF5F445" w14:textId="49D4195B" w:rsidR="000F00C2" w:rsidRDefault="000F00C2" w:rsidP="00AB25A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E7456">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7456">
            <w:rPr>
              <w:rStyle w:val="PageNumber"/>
              <w:noProof/>
            </w:rPr>
            <w:t>9</w:t>
          </w:r>
          <w:r>
            <w:rPr>
              <w:rStyle w:val="PageNumber"/>
            </w:rPr>
            <w:fldChar w:fldCharType="end"/>
          </w:r>
        </w:p>
      </w:tc>
    </w:tr>
  </w:tbl>
  <w:p w14:paraId="27E49601" w14:textId="77777777" w:rsidR="000F00C2" w:rsidRDefault="000F00C2" w:rsidP="0045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39A0" w14:textId="77777777" w:rsidR="008D084B" w:rsidRDefault="008D084B" w:rsidP="00456F51">
      <w:r>
        <w:separator/>
      </w:r>
    </w:p>
  </w:footnote>
  <w:footnote w:type="continuationSeparator" w:id="0">
    <w:p w14:paraId="718BB69E" w14:textId="77777777" w:rsidR="008D084B" w:rsidRDefault="008D084B" w:rsidP="0045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352C3"/>
    <w:multiLevelType w:val="hybridMultilevel"/>
    <w:tmpl w:val="412C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E69C0"/>
    <w:multiLevelType w:val="hybridMultilevel"/>
    <w:tmpl w:val="569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1D9"/>
    <w:multiLevelType w:val="hybridMultilevel"/>
    <w:tmpl w:val="776250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9F10C08"/>
    <w:multiLevelType w:val="hybridMultilevel"/>
    <w:tmpl w:val="455A1A9C"/>
    <w:lvl w:ilvl="0" w:tplc="6E46D32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AA169D"/>
    <w:multiLevelType w:val="hybridMultilevel"/>
    <w:tmpl w:val="7E004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E366B8F"/>
    <w:multiLevelType w:val="hybridMultilevel"/>
    <w:tmpl w:val="BCCE9A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F915960"/>
    <w:multiLevelType w:val="hybridMultilevel"/>
    <w:tmpl w:val="7400B9B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C53C2B"/>
    <w:multiLevelType w:val="hybridMultilevel"/>
    <w:tmpl w:val="1C7C3472"/>
    <w:lvl w:ilvl="0" w:tplc="08130001">
      <w:start w:val="1"/>
      <w:numFmt w:val="bullet"/>
      <w:lvlText w:val=""/>
      <w:lvlJc w:val="left"/>
      <w:pPr>
        <w:ind w:left="720" w:hanging="360"/>
      </w:pPr>
      <w:rPr>
        <w:rFonts w:ascii="Symbol" w:hAnsi="Symbol" w:hint="default"/>
      </w:rPr>
    </w:lvl>
    <w:lvl w:ilvl="1" w:tplc="20C456A2">
      <w:numFmt w:val="bullet"/>
      <w:lvlText w:val="-"/>
      <w:lvlJc w:val="left"/>
      <w:pPr>
        <w:ind w:left="1785" w:hanging="705"/>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CA6D50"/>
    <w:multiLevelType w:val="hybridMultilevel"/>
    <w:tmpl w:val="95E60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79EB"/>
    <w:multiLevelType w:val="multilevel"/>
    <w:tmpl w:val="D48A4966"/>
    <w:lvl w:ilvl="0">
      <w:start w:val="1"/>
      <w:numFmt w:val="decimal"/>
      <w:lvlText w:val="%1."/>
      <w:lvlJc w:val="left"/>
      <w:pPr>
        <w:ind w:left="360" w:hanging="360"/>
      </w:pPr>
      <w:rPr>
        <w:rFonts w:ascii="Arial" w:eastAsiaTheme="majorEastAsia"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21F6F25"/>
    <w:multiLevelType w:val="hybridMultilevel"/>
    <w:tmpl w:val="7C7AF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AB0AEF"/>
    <w:multiLevelType w:val="hybridMultilevel"/>
    <w:tmpl w:val="2F1491B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6241E56"/>
    <w:multiLevelType w:val="hybridMultilevel"/>
    <w:tmpl w:val="EB4EC7FE"/>
    <w:lvl w:ilvl="0" w:tplc="6A082940">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6E91836"/>
    <w:multiLevelType w:val="hybridMultilevel"/>
    <w:tmpl w:val="EAF2CE6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180E7D99"/>
    <w:multiLevelType w:val="hybridMultilevel"/>
    <w:tmpl w:val="7B469B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38021F1"/>
    <w:multiLevelType w:val="hybridMultilevel"/>
    <w:tmpl w:val="953C8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8CF59AE"/>
    <w:multiLevelType w:val="hybridMultilevel"/>
    <w:tmpl w:val="53C4FFD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BE27F5"/>
    <w:multiLevelType w:val="hybridMultilevel"/>
    <w:tmpl w:val="F5EE61A8"/>
    <w:lvl w:ilvl="0" w:tplc="0409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F06F19"/>
    <w:multiLevelType w:val="hybridMultilevel"/>
    <w:tmpl w:val="B3D233B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F6C6BA2"/>
    <w:multiLevelType w:val="multilevel"/>
    <w:tmpl w:val="EA0A256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B42899"/>
    <w:multiLevelType w:val="hybridMultilevel"/>
    <w:tmpl w:val="54C8E5E8"/>
    <w:lvl w:ilvl="0" w:tplc="B14C5C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11D68EB"/>
    <w:multiLevelType w:val="hybridMultilevel"/>
    <w:tmpl w:val="7B889C80"/>
    <w:lvl w:ilvl="0" w:tplc="FC5AB32A">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8717E6E"/>
    <w:multiLevelType w:val="hybridMultilevel"/>
    <w:tmpl w:val="49629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A9D4DC9"/>
    <w:multiLevelType w:val="hybridMultilevel"/>
    <w:tmpl w:val="9DB24A30"/>
    <w:lvl w:ilvl="0" w:tplc="FC2A73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B822A1E"/>
    <w:multiLevelType w:val="hybridMultilevel"/>
    <w:tmpl w:val="C34A7764"/>
    <w:lvl w:ilvl="0" w:tplc="FC5AB32A">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CC50F33"/>
    <w:multiLevelType w:val="hybridMultilevel"/>
    <w:tmpl w:val="8ED886A0"/>
    <w:lvl w:ilvl="0" w:tplc="E3E8B91A">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D976D7"/>
    <w:multiLevelType w:val="hybridMultilevel"/>
    <w:tmpl w:val="C4C437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3F4A2ABD"/>
    <w:multiLevelType w:val="multilevel"/>
    <w:tmpl w:val="AA6C8D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00006CA"/>
    <w:multiLevelType w:val="hybridMultilevel"/>
    <w:tmpl w:val="652487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1227443"/>
    <w:multiLevelType w:val="hybridMultilevel"/>
    <w:tmpl w:val="BF14F2F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41C01A7B"/>
    <w:multiLevelType w:val="hybridMultilevel"/>
    <w:tmpl w:val="D3EA67E4"/>
    <w:lvl w:ilvl="0" w:tplc="7F2C5C78">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425704A"/>
    <w:multiLevelType w:val="hybridMultilevel"/>
    <w:tmpl w:val="3D788776"/>
    <w:lvl w:ilvl="0" w:tplc="3FA87578">
      <w:start w:val="1"/>
      <w:numFmt w:val="bullet"/>
      <w:pStyle w:val="ListParagraph"/>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8385D47"/>
    <w:multiLevelType w:val="hybridMultilevel"/>
    <w:tmpl w:val="7D083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488F534E"/>
    <w:multiLevelType w:val="multilevel"/>
    <w:tmpl w:val="1E2844E4"/>
    <w:lvl w:ilvl="0">
      <w:start w:val="1"/>
      <w:numFmt w:val="bullet"/>
      <w:lvlText w:val=""/>
      <w:lvlJc w:val="left"/>
      <w:pPr>
        <w:ind w:left="1068" w:hanging="360"/>
      </w:pPr>
      <w:rPr>
        <w:rFonts w:ascii="Symbol" w:hAnsi="Symbol" w:hint="default"/>
      </w:rPr>
    </w:lvl>
    <w:lvl w:ilvl="1">
      <w:start w:val="1"/>
      <w:numFmt w:val="none"/>
      <w:lvlText w:val="o"/>
      <w:legacy w:legacy="1" w:legacySpace="120" w:legacyIndent="360"/>
      <w:lvlJc w:val="left"/>
      <w:pPr>
        <w:ind w:left="1428" w:hanging="360"/>
      </w:pPr>
      <w:rPr>
        <w:rFonts w:ascii="Courier New" w:hAnsi="Courier New" w:hint="default"/>
      </w:rPr>
    </w:lvl>
    <w:lvl w:ilvl="2">
      <w:start w:val="1"/>
      <w:numFmt w:val="none"/>
      <w:lvlText w:val=""/>
      <w:legacy w:legacy="1" w:legacySpace="120" w:legacyIndent="360"/>
      <w:lvlJc w:val="left"/>
      <w:pPr>
        <w:ind w:left="1788" w:hanging="360"/>
      </w:pPr>
      <w:rPr>
        <w:rFonts w:ascii="Wingdings" w:hAnsi="Wingdings" w:hint="default"/>
      </w:rPr>
    </w:lvl>
    <w:lvl w:ilvl="3">
      <w:start w:val="1"/>
      <w:numFmt w:val="none"/>
      <w:lvlText w:val=""/>
      <w:legacy w:legacy="1" w:legacySpace="120" w:legacyIndent="360"/>
      <w:lvlJc w:val="left"/>
      <w:pPr>
        <w:ind w:left="2148" w:hanging="360"/>
      </w:pPr>
      <w:rPr>
        <w:rFonts w:ascii="Symbol" w:hAnsi="Symbol" w:hint="default"/>
      </w:rPr>
    </w:lvl>
    <w:lvl w:ilvl="4">
      <w:start w:val="1"/>
      <w:numFmt w:val="none"/>
      <w:lvlText w:val="o"/>
      <w:legacy w:legacy="1" w:legacySpace="120" w:legacyIndent="360"/>
      <w:lvlJc w:val="left"/>
      <w:pPr>
        <w:ind w:left="2508" w:hanging="360"/>
      </w:pPr>
      <w:rPr>
        <w:rFonts w:ascii="Courier New" w:hAnsi="Courier New" w:hint="default"/>
      </w:rPr>
    </w:lvl>
    <w:lvl w:ilvl="5">
      <w:start w:val="1"/>
      <w:numFmt w:val="none"/>
      <w:lvlText w:val=""/>
      <w:legacy w:legacy="1" w:legacySpace="120" w:legacyIndent="360"/>
      <w:lvlJc w:val="left"/>
      <w:pPr>
        <w:ind w:left="2868" w:hanging="360"/>
      </w:pPr>
      <w:rPr>
        <w:rFonts w:ascii="Wingdings" w:hAnsi="Wingdings" w:hint="default"/>
      </w:rPr>
    </w:lvl>
    <w:lvl w:ilvl="6">
      <w:start w:val="1"/>
      <w:numFmt w:val="none"/>
      <w:lvlText w:val=""/>
      <w:legacy w:legacy="1" w:legacySpace="120" w:legacyIndent="360"/>
      <w:lvlJc w:val="left"/>
      <w:pPr>
        <w:ind w:left="3228" w:hanging="360"/>
      </w:pPr>
      <w:rPr>
        <w:rFonts w:ascii="Symbol" w:hAnsi="Symbol" w:hint="default"/>
      </w:rPr>
    </w:lvl>
    <w:lvl w:ilvl="7">
      <w:start w:val="1"/>
      <w:numFmt w:val="none"/>
      <w:lvlText w:val="o"/>
      <w:legacy w:legacy="1" w:legacySpace="120" w:legacyIndent="360"/>
      <w:lvlJc w:val="left"/>
      <w:pPr>
        <w:ind w:left="3588" w:hanging="360"/>
      </w:pPr>
      <w:rPr>
        <w:rFonts w:ascii="Courier New" w:hAnsi="Courier New" w:hint="default"/>
      </w:rPr>
    </w:lvl>
    <w:lvl w:ilvl="8">
      <w:start w:val="1"/>
      <w:numFmt w:val="none"/>
      <w:lvlText w:val=""/>
      <w:legacy w:legacy="1" w:legacySpace="120" w:legacyIndent="360"/>
      <w:lvlJc w:val="left"/>
      <w:pPr>
        <w:ind w:left="3948" w:hanging="360"/>
      </w:pPr>
      <w:rPr>
        <w:rFonts w:ascii="Wingdings" w:hAnsi="Wingdings" w:hint="default"/>
      </w:rPr>
    </w:lvl>
  </w:abstractNum>
  <w:abstractNum w:abstractNumId="37" w15:restartNumberingAfterBreak="0">
    <w:nsid w:val="4A072802"/>
    <w:multiLevelType w:val="hybridMultilevel"/>
    <w:tmpl w:val="412C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E3799"/>
    <w:multiLevelType w:val="hybridMultilevel"/>
    <w:tmpl w:val="67BCFF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5170AE7"/>
    <w:multiLevelType w:val="hybridMultilevel"/>
    <w:tmpl w:val="E13A0D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57581431"/>
    <w:multiLevelType w:val="hybridMultilevel"/>
    <w:tmpl w:val="8D321E5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D293B24"/>
    <w:multiLevelType w:val="hybridMultilevel"/>
    <w:tmpl w:val="06D0D5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5E5D69C5"/>
    <w:multiLevelType w:val="hybridMultilevel"/>
    <w:tmpl w:val="BA64058E"/>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6287233F"/>
    <w:multiLevelType w:val="hybridMultilevel"/>
    <w:tmpl w:val="9FAC15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3DF396C"/>
    <w:multiLevelType w:val="hybridMultilevel"/>
    <w:tmpl w:val="53BA58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64E73AF8"/>
    <w:multiLevelType w:val="hybridMultilevel"/>
    <w:tmpl w:val="01FC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115708"/>
    <w:multiLevelType w:val="hybridMultilevel"/>
    <w:tmpl w:val="C9DEC990"/>
    <w:lvl w:ilvl="0" w:tplc="11DC72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C043314"/>
    <w:multiLevelType w:val="hybridMultilevel"/>
    <w:tmpl w:val="64569126"/>
    <w:lvl w:ilvl="0" w:tplc="400A0001">
      <w:start w:val="1"/>
      <w:numFmt w:val="bullet"/>
      <w:lvlText w:val=""/>
      <w:lvlJc w:val="left"/>
      <w:pPr>
        <w:ind w:left="840" w:hanging="360"/>
      </w:pPr>
      <w:rPr>
        <w:rFonts w:ascii="Symbol" w:hAnsi="Symbol" w:hint="default"/>
      </w:rPr>
    </w:lvl>
    <w:lvl w:ilvl="1" w:tplc="400A0003" w:tentative="1">
      <w:start w:val="1"/>
      <w:numFmt w:val="bullet"/>
      <w:lvlText w:val="o"/>
      <w:lvlJc w:val="left"/>
      <w:pPr>
        <w:ind w:left="1560" w:hanging="360"/>
      </w:pPr>
      <w:rPr>
        <w:rFonts w:ascii="Courier New" w:hAnsi="Courier New" w:cs="Courier New" w:hint="default"/>
      </w:rPr>
    </w:lvl>
    <w:lvl w:ilvl="2" w:tplc="400A0005" w:tentative="1">
      <w:start w:val="1"/>
      <w:numFmt w:val="bullet"/>
      <w:lvlText w:val=""/>
      <w:lvlJc w:val="left"/>
      <w:pPr>
        <w:ind w:left="2280" w:hanging="360"/>
      </w:pPr>
      <w:rPr>
        <w:rFonts w:ascii="Wingdings" w:hAnsi="Wingdings" w:hint="default"/>
      </w:rPr>
    </w:lvl>
    <w:lvl w:ilvl="3" w:tplc="400A0001" w:tentative="1">
      <w:start w:val="1"/>
      <w:numFmt w:val="bullet"/>
      <w:lvlText w:val=""/>
      <w:lvlJc w:val="left"/>
      <w:pPr>
        <w:ind w:left="3000" w:hanging="360"/>
      </w:pPr>
      <w:rPr>
        <w:rFonts w:ascii="Symbol" w:hAnsi="Symbol" w:hint="default"/>
      </w:rPr>
    </w:lvl>
    <w:lvl w:ilvl="4" w:tplc="400A0003" w:tentative="1">
      <w:start w:val="1"/>
      <w:numFmt w:val="bullet"/>
      <w:lvlText w:val="o"/>
      <w:lvlJc w:val="left"/>
      <w:pPr>
        <w:ind w:left="3720" w:hanging="360"/>
      </w:pPr>
      <w:rPr>
        <w:rFonts w:ascii="Courier New" w:hAnsi="Courier New" w:cs="Courier New" w:hint="default"/>
      </w:rPr>
    </w:lvl>
    <w:lvl w:ilvl="5" w:tplc="400A0005" w:tentative="1">
      <w:start w:val="1"/>
      <w:numFmt w:val="bullet"/>
      <w:lvlText w:val=""/>
      <w:lvlJc w:val="left"/>
      <w:pPr>
        <w:ind w:left="4440" w:hanging="360"/>
      </w:pPr>
      <w:rPr>
        <w:rFonts w:ascii="Wingdings" w:hAnsi="Wingdings" w:hint="default"/>
      </w:rPr>
    </w:lvl>
    <w:lvl w:ilvl="6" w:tplc="400A0001" w:tentative="1">
      <w:start w:val="1"/>
      <w:numFmt w:val="bullet"/>
      <w:lvlText w:val=""/>
      <w:lvlJc w:val="left"/>
      <w:pPr>
        <w:ind w:left="5160" w:hanging="360"/>
      </w:pPr>
      <w:rPr>
        <w:rFonts w:ascii="Symbol" w:hAnsi="Symbol" w:hint="default"/>
      </w:rPr>
    </w:lvl>
    <w:lvl w:ilvl="7" w:tplc="400A0003" w:tentative="1">
      <w:start w:val="1"/>
      <w:numFmt w:val="bullet"/>
      <w:lvlText w:val="o"/>
      <w:lvlJc w:val="left"/>
      <w:pPr>
        <w:ind w:left="5880" w:hanging="360"/>
      </w:pPr>
      <w:rPr>
        <w:rFonts w:ascii="Courier New" w:hAnsi="Courier New" w:cs="Courier New" w:hint="default"/>
      </w:rPr>
    </w:lvl>
    <w:lvl w:ilvl="8" w:tplc="400A0005" w:tentative="1">
      <w:start w:val="1"/>
      <w:numFmt w:val="bullet"/>
      <w:lvlText w:val=""/>
      <w:lvlJc w:val="left"/>
      <w:pPr>
        <w:ind w:left="6600" w:hanging="360"/>
      </w:pPr>
      <w:rPr>
        <w:rFonts w:ascii="Wingdings" w:hAnsi="Wingdings" w:hint="default"/>
      </w:rPr>
    </w:lvl>
  </w:abstractNum>
  <w:abstractNum w:abstractNumId="49" w15:restartNumberingAfterBreak="0">
    <w:nsid w:val="74D2610F"/>
    <w:multiLevelType w:val="hybridMultilevel"/>
    <w:tmpl w:val="736095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15:restartNumberingAfterBreak="0">
    <w:nsid w:val="7D422211"/>
    <w:multiLevelType w:val="multilevel"/>
    <w:tmpl w:val="5E0A31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E5552A2"/>
    <w:multiLevelType w:val="hybridMultilevel"/>
    <w:tmpl w:val="AD3E97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39"/>
  </w:num>
  <w:num w:numId="3">
    <w:abstractNumId w:val="34"/>
  </w:num>
  <w:num w:numId="4">
    <w:abstractNumId w:val="33"/>
  </w:num>
  <w:num w:numId="5">
    <w:abstractNumId w:val="31"/>
  </w:num>
  <w:num w:numId="6">
    <w:abstractNumId w:val="10"/>
  </w:num>
  <w:num w:numId="7">
    <w:abstractNumId w:val="4"/>
  </w:num>
  <w:num w:numId="8">
    <w:abstractNumId w:val="28"/>
  </w:num>
  <w:num w:numId="9">
    <w:abstractNumId w:val="21"/>
  </w:num>
  <w:num w:numId="10">
    <w:abstractNumId w:val="49"/>
  </w:num>
  <w:num w:numId="11">
    <w:abstractNumId w:val="30"/>
  </w:num>
  <w:num w:numId="12">
    <w:abstractNumId w:val="50"/>
  </w:num>
  <w:num w:numId="13">
    <w:abstractNumId w:val="44"/>
  </w:num>
  <w:num w:numId="14">
    <w:abstractNumId w:val="42"/>
  </w:num>
  <w:num w:numId="15">
    <w:abstractNumId w:val="5"/>
  </w:num>
  <w:num w:numId="16">
    <w:abstractNumId w:val="43"/>
  </w:num>
  <w:num w:numId="17">
    <w:abstractNumId w:val="29"/>
  </w:num>
  <w:num w:numId="18">
    <w:abstractNumId w:val="16"/>
  </w:num>
  <w:num w:numId="19">
    <w:abstractNumId w:val="25"/>
  </w:num>
  <w:num w:numId="20">
    <w:abstractNumId w:val="47"/>
  </w:num>
  <w:num w:numId="21">
    <w:abstractNumId w:val="33"/>
  </w:num>
  <w:num w:numId="22">
    <w:abstractNumId w:val="3"/>
  </w:num>
  <w:num w:numId="23">
    <w:abstractNumId w:val="51"/>
  </w:num>
  <w:num w:numId="24">
    <w:abstractNumId w:val="27"/>
  </w:num>
  <w:num w:numId="25">
    <w:abstractNumId w:val="19"/>
  </w:num>
  <w:num w:numId="26">
    <w:abstractNumId w:val="45"/>
  </w:num>
  <w:num w:numId="27">
    <w:abstractNumId w:val="11"/>
  </w:num>
  <w:num w:numId="28">
    <w:abstractNumId w:val="13"/>
  </w:num>
  <w:num w:numId="29">
    <w:abstractNumId w:val="24"/>
  </w:num>
  <w:num w:numId="30">
    <w:abstractNumId w:val="35"/>
  </w:num>
  <w:num w:numId="31">
    <w:abstractNumId w:val="26"/>
  </w:num>
  <w:num w:numId="32">
    <w:abstractNumId w:val="22"/>
  </w:num>
  <w:num w:numId="33">
    <w:abstractNumId w:val="32"/>
  </w:num>
  <w:num w:numId="34">
    <w:abstractNumId w:val="17"/>
  </w:num>
  <w:num w:numId="35">
    <w:abstractNumId w:val="41"/>
  </w:num>
  <w:num w:numId="36">
    <w:abstractNumId w:val="40"/>
  </w:num>
  <w:num w:numId="37">
    <w:abstractNumId w:val="36"/>
  </w:num>
  <w:num w:numId="38">
    <w:abstractNumId w:val="0"/>
    <w:lvlOverride w:ilvl="0">
      <w:lvl w:ilvl="0">
        <w:start w:val="1"/>
        <w:numFmt w:val="bullet"/>
        <w:lvlText w:val=""/>
        <w:legacy w:legacy="1" w:legacySpace="0" w:legacyIndent="283"/>
        <w:lvlJc w:val="left"/>
        <w:pPr>
          <w:ind w:left="851" w:hanging="283"/>
        </w:pPr>
        <w:rPr>
          <w:rFonts w:ascii="Symbol" w:hAnsi="Symbol" w:hint="default"/>
          <w:sz w:val="16"/>
        </w:rPr>
      </w:lvl>
    </w:lvlOverride>
  </w:num>
  <w:num w:numId="39">
    <w:abstractNumId w:val="8"/>
  </w:num>
  <w:num w:numId="40">
    <w:abstractNumId w:val="15"/>
  </w:num>
  <w:num w:numId="41">
    <w:abstractNumId w:val="48"/>
  </w:num>
  <w:num w:numId="42">
    <w:abstractNumId w:val="6"/>
  </w:num>
  <w:num w:numId="43">
    <w:abstractNumId w:val="33"/>
  </w:num>
  <w:num w:numId="44">
    <w:abstractNumId w:val="33"/>
  </w:num>
  <w:num w:numId="45">
    <w:abstractNumId w:val="18"/>
  </w:num>
  <w:num w:numId="46">
    <w:abstractNumId w:val="7"/>
  </w:num>
  <w:num w:numId="47">
    <w:abstractNumId w:val="14"/>
  </w:num>
  <w:num w:numId="48">
    <w:abstractNumId w:val="12"/>
  </w:num>
  <w:num w:numId="49">
    <w:abstractNumId w:val="38"/>
  </w:num>
  <w:num w:numId="50">
    <w:abstractNumId w:val="9"/>
  </w:num>
  <w:num w:numId="51">
    <w:abstractNumId w:val="37"/>
  </w:num>
  <w:num w:numId="52">
    <w:abstractNumId w:val="33"/>
  </w:num>
  <w:num w:numId="53">
    <w:abstractNumId w:val="1"/>
  </w:num>
  <w:num w:numId="54">
    <w:abstractNumId w:val="2"/>
  </w:num>
  <w:num w:numId="55">
    <w:abstractNumId w:val="33"/>
  </w:num>
  <w:num w:numId="56">
    <w:abstractNumId w:val="46"/>
  </w:num>
  <w:num w:numId="57">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E4"/>
    <w:rsid w:val="00004D20"/>
    <w:rsid w:val="00010D12"/>
    <w:rsid w:val="00016105"/>
    <w:rsid w:val="00016C50"/>
    <w:rsid w:val="00026078"/>
    <w:rsid w:val="00031A24"/>
    <w:rsid w:val="00031B6F"/>
    <w:rsid w:val="0003617B"/>
    <w:rsid w:val="0005134E"/>
    <w:rsid w:val="000515E4"/>
    <w:rsid w:val="0005180E"/>
    <w:rsid w:val="00056FCD"/>
    <w:rsid w:val="00061A49"/>
    <w:rsid w:val="0006491C"/>
    <w:rsid w:val="00081155"/>
    <w:rsid w:val="000862F3"/>
    <w:rsid w:val="0009056D"/>
    <w:rsid w:val="000A03D7"/>
    <w:rsid w:val="000A5148"/>
    <w:rsid w:val="000A5820"/>
    <w:rsid w:val="000B5D3A"/>
    <w:rsid w:val="000B6A4A"/>
    <w:rsid w:val="000B7542"/>
    <w:rsid w:val="000C1F34"/>
    <w:rsid w:val="000C36CF"/>
    <w:rsid w:val="000C5C08"/>
    <w:rsid w:val="000D2116"/>
    <w:rsid w:val="000D5AB7"/>
    <w:rsid w:val="000D62B2"/>
    <w:rsid w:val="000E0531"/>
    <w:rsid w:val="000E7433"/>
    <w:rsid w:val="000E7522"/>
    <w:rsid w:val="000F00C2"/>
    <w:rsid w:val="000F363E"/>
    <w:rsid w:val="001075A6"/>
    <w:rsid w:val="00113673"/>
    <w:rsid w:val="00113E7E"/>
    <w:rsid w:val="001149BA"/>
    <w:rsid w:val="00114B17"/>
    <w:rsid w:val="001219F0"/>
    <w:rsid w:val="00123D03"/>
    <w:rsid w:val="00124C3E"/>
    <w:rsid w:val="00125900"/>
    <w:rsid w:val="001260E5"/>
    <w:rsid w:val="0015621C"/>
    <w:rsid w:val="00156E8D"/>
    <w:rsid w:val="00157EFB"/>
    <w:rsid w:val="0016260B"/>
    <w:rsid w:val="00171012"/>
    <w:rsid w:val="00181BBB"/>
    <w:rsid w:val="00182FC3"/>
    <w:rsid w:val="00183007"/>
    <w:rsid w:val="00193723"/>
    <w:rsid w:val="00195ACB"/>
    <w:rsid w:val="00195C0F"/>
    <w:rsid w:val="001A294A"/>
    <w:rsid w:val="001A5130"/>
    <w:rsid w:val="001A54BB"/>
    <w:rsid w:val="001A7E73"/>
    <w:rsid w:val="001B1F1B"/>
    <w:rsid w:val="001C1F3A"/>
    <w:rsid w:val="001C4230"/>
    <w:rsid w:val="001D1EC6"/>
    <w:rsid w:val="001D40BD"/>
    <w:rsid w:val="001D694E"/>
    <w:rsid w:val="001D738C"/>
    <w:rsid w:val="001E298F"/>
    <w:rsid w:val="001E54B6"/>
    <w:rsid w:val="001E67BA"/>
    <w:rsid w:val="001F1134"/>
    <w:rsid w:val="001F70B3"/>
    <w:rsid w:val="00216187"/>
    <w:rsid w:val="002212CF"/>
    <w:rsid w:val="00221A7B"/>
    <w:rsid w:val="00222DAC"/>
    <w:rsid w:val="00224846"/>
    <w:rsid w:val="0022568C"/>
    <w:rsid w:val="00235400"/>
    <w:rsid w:val="00237253"/>
    <w:rsid w:val="00240509"/>
    <w:rsid w:val="00244324"/>
    <w:rsid w:val="00247B2C"/>
    <w:rsid w:val="002554F6"/>
    <w:rsid w:val="00262819"/>
    <w:rsid w:val="00263FD0"/>
    <w:rsid w:val="00264AC6"/>
    <w:rsid w:val="00270D5C"/>
    <w:rsid w:val="00273386"/>
    <w:rsid w:val="00275130"/>
    <w:rsid w:val="00281F29"/>
    <w:rsid w:val="002956E8"/>
    <w:rsid w:val="002970EF"/>
    <w:rsid w:val="00297C3D"/>
    <w:rsid w:val="002A4F3F"/>
    <w:rsid w:val="002A7657"/>
    <w:rsid w:val="002B0F90"/>
    <w:rsid w:val="002B6A00"/>
    <w:rsid w:val="002B7243"/>
    <w:rsid w:val="002B75D0"/>
    <w:rsid w:val="002C57BC"/>
    <w:rsid w:val="002D231E"/>
    <w:rsid w:val="002D26AA"/>
    <w:rsid w:val="002E2B2C"/>
    <w:rsid w:val="002E3CE0"/>
    <w:rsid w:val="002E5C3D"/>
    <w:rsid w:val="002F0526"/>
    <w:rsid w:val="002F4B57"/>
    <w:rsid w:val="00303942"/>
    <w:rsid w:val="00313B80"/>
    <w:rsid w:val="00316AF1"/>
    <w:rsid w:val="003170A8"/>
    <w:rsid w:val="00323CA8"/>
    <w:rsid w:val="003311D6"/>
    <w:rsid w:val="003411EA"/>
    <w:rsid w:val="00344C90"/>
    <w:rsid w:val="00345A2B"/>
    <w:rsid w:val="00350540"/>
    <w:rsid w:val="0035392E"/>
    <w:rsid w:val="00353D94"/>
    <w:rsid w:val="00354A14"/>
    <w:rsid w:val="00355FEC"/>
    <w:rsid w:val="003637A5"/>
    <w:rsid w:val="00371479"/>
    <w:rsid w:val="0038756A"/>
    <w:rsid w:val="003941F7"/>
    <w:rsid w:val="0039510F"/>
    <w:rsid w:val="003A288F"/>
    <w:rsid w:val="003A392E"/>
    <w:rsid w:val="003B0B44"/>
    <w:rsid w:val="003B63CC"/>
    <w:rsid w:val="003C0BB5"/>
    <w:rsid w:val="003C1D1C"/>
    <w:rsid w:val="003D3642"/>
    <w:rsid w:val="003D4DB8"/>
    <w:rsid w:val="003D67C7"/>
    <w:rsid w:val="003E3122"/>
    <w:rsid w:val="003E468F"/>
    <w:rsid w:val="003E5BDF"/>
    <w:rsid w:val="003E6AF8"/>
    <w:rsid w:val="003F5236"/>
    <w:rsid w:val="004008D3"/>
    <w:rsid w:val="0041047D"/>
    <w:rsid w:val="004114F4"/>
    <w:rsid w:val="0041303D"/>
    <w:rsid w:val="00420374"/>
    <w:rsid w:val="00421292"/>
    <w:rsid w:val="00422D20"/>
    <w:rsid w:val="00431C50"/>
    <w:rsid w:val="00432818"/>
    <w:rsid w:val="00433FE8"/>
    <w:rsid w:val="00434A3C"/>
    <w:rsid w:val="0044383A"/>
    <w:rsid w:val="00445DE5"/>
    <w:rsid w:val="004529AB"/>
    <w:rsid w:val="00452CB1"/>
    <w:rsid w:val="004551D7"/>
    <w:rsid w:val="004560CC"/>
    <w:rsid w:val="00456330"/>
    <w:rsid w:val="00456F51"/>
    <w:rsid w:val="00457A5B"/>
    <w:rsid w:val="00465779"/>
    <w:rsid w:val="00477B21"/>
    <w:rsid w:val="00482FF6"/>
    <w:rsid w:val="004907B2"/>
    <w:rsid w:val="00493AEE"/>
    <w:rsid w:val="00493EE6"/>
    <w:rsid w:val="00495325"/>
    <w:rsid w:val="004A2981"/>
    <w:rsid w:val="004A3877"/>
    <w:rsid w:val="004A599D"/>
    <w:rsid w:val="004A5B6A"/>
    <w:rsid w:val="004B187D"/>
    <w:rsid w:val="004C2586"/>
    <w:rsid w:val="004C435E"/>
    <w:rsid w:val="004C57EC"/>
    <w:rsid w:val="004C5C3E"/>
    <w:rsid w:val="004D16DB"/>
    <w:rsid w:val="004D30F5"/>
    <w:rsid w:val="004D7CA8"/>
    <w:rsid w:val="004E01F8"/>
    <w:rsid w:val="004E0C14"/>
    <w:rsid w:val="004E413C"/>
    <w:rsid w:val="004E6E60"/>
    <w:rsid w:val="004F10A6"/>
    <w:rsid w:val="004F7F9A"/>
    <w:rsid w:val="00506F08"/>
    <w:rsid w:val="0051046B"/>
    <w:rsid w:val="00510513"/>
    <w:rsid w:val="0051789D"/>
    <w:rsid w:val="00520DF0"/>
    <w:rsid w:val="00521765"/>
    <w:rsid w:val="00523CF2"/>
    <w:rsid w:val="00524828"/>
    <w:rsid w:val="00526A95"/>
    <w:rsid w:val="0053096B"/>
    <w:rsid w:val="0053420B"/>
    <w:rsid w:val="0053451D"/>
    <w:rsid w:val="00535970"/>
    <w:rsid w:val="00540F91"/>
    <w:rsid w:val="00544D1E"/>
    <w:rsid w:val="00547152"/>
    <w:rsid w:val="00552BD1"/>
    <w:rsid w:val="00554AA8"/>
    <w:rsid w:val="0055616D"/>
    <w:rsid w:val="005614D0"/>
    <w:rsid w:val="00564749"/>
    <w:rsid w:val="0056616B"/>
    <w:rsid w:val="005775D1"/>
    <w:rsid w:val="005815F0"/>
    <w:rsid w:val="00582240"/>
    <w:rsid w:val="00585EC2"/>
    <w:rsid w:val="00587D5D"/>
    <w:rsid w:val="005964B7"/>
    <w:rsid w:val="0059794F"/>
    <w:rsid w:val="005A0C15"/>
    <w:rsid w:val="005A2FCC"/>
    <w:rsid w:val="005A68E3"/>
    <w:rsid w:val="005B39B1"/>
    <w:rsid w:val="005C37F2"/>
    <w:rsid w:val="005C4382"/>
    <w:rsid w:val="005D6721"/>
    <w:rsid w:val="005F2951"/>
    <w:rsid w:val="005F4CD5"/>
    <w:rsid w:val="005F677C"/>
    <w:rsid w:val="00605A67"/>
    <w:rsid w:val="00607AEE"/>
    <w:rsid w:val="0061220E"/>
    <w:rsid w:val="00616242"/>
    <w:rsid w:val="00617581"/>
    <w:rsid w:val="0062509C"/>
    <w:rsid w:val="0062514C"/>
    <w:rsid w:val="00634A98"/>
    <w:rsid w:val="0063610B"/>
    <w:rsid w:val="006377C9"/>
    <w:rsid w:val="0064295A"/>
    <w:rsid w:val="00645B84"/>
    <w:rsid w:val="006560B7"/>
    <w:rsid w:val="006561E3"/>
    <w:rsid w:val="00657146"/>
    <w:rsid w:val="00661FD0"/>
    <w:rsid w:val="0066439A"/>
    <w:rsid w:val="00671862"/>
    <w:rsid w:val="0067582A"/>
    <w:rsid w:val="006809B3"/>
    <w:rsid w:val="00681A8C"/>
    <w:rsid w:val="006829CF"/>
    <w:rsid w:val="0068456E"/>
    <w:rsid w:val="00685765"/>
    <w:rsid w:val="006868B2"/>
    <w:rsid w:val="00692066"/>
    <w:rsid w:val="00692C38"/>
    <w:rsid w:val="00694357"/>
    <w:rsid w:val="0069693D"/>
    <w:rsid w:val="006A48D5"/>
    <w:rsid w:val="006A6E68"/>
    <w:rsid w:val="006A7741"/>
    <w:rsid w:val="006B1DFF"/>
    <w:rsid w:val="006B3B5C"/>
    <w:rsid w:val="006C3F48"/>
    <w:rsid w:val="006C77EC"/>
    <w:rsid w:val="006C7FF1"/>
    <w:rsid w:val="006D0679"/>
    <w:rsid w:val="006D5E94"/>
    <w:rsid w:val="006D6494"/>
    <w:rsid w:val="006E3053"/>
    <w:rsid w:val="006E3644"/>
    <w:rsid w:val="006E4798"/>
    <w:rsid w:val="006F1109"/>
    <w:rsid w:val="006F3346"/>
    <w:rsid w:val="006F42B3"/>
    <w:rsid w:val="0071757C"/>
    <w:rsid w:val="00720D09"/>
    <w:rsid w:val="00726BDA"/>
    <w:rsid w:val="00734EF9"/>
    <w:rsid w:val="00740D16"/>
    <w:rsid w:val="007464DA"/>
    <w:rsid w:val="00757348"/>
    <w:rsid w:val="00761018"/>
    <w:rsid w:val="00764FF8"/>
    <w:rsid w:val="0079220B"/>
    <w:rsid w:val="00793CBB"/>
    <w:rsid w:val="00794B0A"/>
    <w:rsid w:val="007972EB"/>
    <w:rsid w:val="007A0094"/>
    <w:rsid w:val="007A181F"/>
    <w:rsid w:val="007A7FD2"/>
    <w:rsid w:val="007B0628"/>
    <w:rsid w:val="007B1699"/>
    <w:rsid w:val="007B1B51"/>
    <w:rsid w:val="007B529D"/>
    <w:rsid w:val="007B656D"/>
    <w:rsid w:val="007D5005"/>
    <w:rsid w:val="007E1E09"/>
    <w:rsid w:val="007E7049"/>
    <w:rsid w:val="007F134B"/>
    <w:rsid w:val="007F147E"/>
    <w:rsid w:val="007F44FE"/>
    <w:rsid w:val="007F78A8"/>
    <w:rsid w:val="00812BE4"/>
    <w:rsid w:val="00817EED"/>
    <w:rsid w:val="00827591"/>
    <w:rsid w:val="008314E9"/>
    <w:rsid w:val="008345E9"/>
    <w:rsid w:val="008370AA"/>
    <w:rsid w:val="00840258"/>
    <w:rsid w:val="00842200"/>
    <w:rsid w:val="008455BC"/>
    <w:rsid w:val="00845A7B"/>
    <w:rsid w:val="0084636A"/>
    <w:rsid w:val="008505A5"/>
    <w:rsid w:val="008535FE"/>
    <w:rsid w:val="00855305"/>
    <w:rsid w:val="00861285"/>
    <w:rsid w:val="00862E3E"/>
    <w:rsid w:val="00863E16"/>
    <w:rsid w:val="00875141"/>
    <w:rsid w:val="00886D2A"/>
    <w:rsid w:val="00890242"/>
    <w:rsid w:val="008952E1"/>
    <w:rsid w:val="00896343"/>
    <w:rsid w:val="008B143D"/>
    <w:rsid w:val="008B2000"/>
    <w:rsid w:val="008B6507"/>
    <w:rsid w:val="008C2E43"/>
    <w:rsid w:val="008C36F5"/>
    <w:rsid w:val="008C7377"/>
    <w:rsid w:val="008D084B"/>
    <w:rsid w:val="008D2821"/>
    <w:rsid w:val="008D3572"/>
    <w:rsid w:val="008D4F70"/>
    <w:rsid w:val="008D581C"/>
    <w:rsid w:val="008D784B"/>
    <w:rsid w:val="008E2D1F"/>
    <w:rsid w:val="008F0F23"/>
    <w:rsid w:val="00904D21"/>
    <w:rsid w:val="00907183"/>
    <w:rsid w:val="00921F21"/>
    <w:rsid w:val="00925A1C"/>
    <w:rsid w:val="00932F9A"/>
    <w:rsid w:val="0094290A"/>
    <w:rsid w:val="00942D1C"/>
    <w:rsid w:val="00953A79"/>
    <w:rsid w:val="009601A5"/>
    <w:rsid w:val="0096252A"/>
    <w:rsid w:val="009630E2"/>
    <w:rsid w:val="00965EC5"/>
    <w:rsid w:val="00974F33"/>
    <w:rsid w:val="0097617E"/>
    <w:rsid w:val="0098045D"/>
    <w:rsid w:val="00981016"/>
    <w:rsid w:val="009823F2"/>
    <w:rsid w:val="009932F0"/>
    <w:rsid w:val="009942C1"/>
    <w:rsid w:val="009B2DA0"/>
    <w:rsid w:val="009B51D4"/>
    <w:rsid w:val="009B6FDC"/>
    <w:rsid w:val="009C7FE0"/>
    <w:rsid w:val="009D11EF"/>
    <w:rsid w:val="009D5ED7"/>
    <w:rsid w:val="009E2220"/>
    <w:rsid w:val="009F1CA5"/>
    <w:rsid w:val="009F3ABB"/>
    <w:rsid w:val="009F4A31"/>
    <w:rsid w:val="009F61ED"/>
    <w:rsid w:val="009F7EB0"/>
    <w:rsid w:val="00A067ED"/>
    <w:rsid w:val="00A32FED"/>
    <w:rsid w:val="00A40B48"/>
    <w:rsid w:val="00A541FF"/>
    <w:rsid w:val="00A5638D"/>
    <w:rsid w:val="00A6186B"/>
    <w:rsid w:val="00A626F7"/>
    <w:rsid w:val="00A63AB8"/>
    <w:rsid w:val="00A64DAB"/>
    <w:rsid w:val="00A676E6"/>
    <w:rsid w:val="00A713CC"/>
    <w:rsid w:val="00A73319"/>
    <w:rsid w:val="00A73862"/>
    <w:rsid w:val="00A80DD2"/>
    <w:rsid w:val="00A8613A"/>
    <w:rsid w:val="00A9012A"/>
    <w:rsid w:val="00AA4460"/>
    <w:rsid w:val="00AA6361"/>
    <w:rsid w:val="00AB25A4"/>
    <w:rsid w:val="00AB4995"/>
    <w:rsid w:val="00AC3155"/>
    <w:rsid w:val="00AD1D04"/>
    <w:rsid w:val="00AD67B6"/>
    <w:rsid w:val="00AE0877"/>
    <w:rsid w:val="00AE7E76"/>
    <w:rsid w:val="00AF2B1C"/>
    <w:rsid w:val="00AF2F78"/>
    <w:rsid w:val="00AF481E"/>
    <w:rsid w:val="00AF52F6"/>
    <w:rsid w:val="00B05215"/>
    <w:rsid w:val="00B14252"/>
    <w:rsid w:val="00B15A51"/>
    <w:rsid w:val="00B30D63"/>
    <w:rsid w:val="00B311F4"/>
    <w:rsid w:val="00B316B2"/>
    <w:rsid w:val="00B41257"/>
    <w:rsid w:val="00B47C67"/>
    <w:rsid w:val="00B5053D"/>
    <w:rsid w:val="00B55E65"/>
    <w:rsid w:val="00B56FFA"/>
    <w:rsid w:val="00B60AE5"/>
    <w:rsid w:val="00B6348E"/>
    <w:rsid w:val="00B63C6B"/>
    <w:rsid w:val="00B774A4"/>
    <w:rsid w:val="00B9102F"/>
    <w:rsid w:val="00B9207D"/>
    <w:rsid w:val="00B93A71"/>
    <w:rsid w:val="00B94190"/>
    <w:rsid w:val="00B95C56"/>
    <w:rsid w:val="00BA0188"/>
    <w:rsid w:val="00BA33D8"/>
    <w:rsid w:val="00BA5522"/>
    <w:rsid w:val="00BA77A2"/>
    <w:rsid w:val="00BB28EE"/>
    <w:rsid w:val="00BB5E4C"/>
    <w:rsid w:val="00BC65D9"/>
    <w:rsid w:val="00BD1BD1"/>
    <w:rsid w:val="00BD2C0A"/>
    <w:rsid w:val="00BD5BE1"/>
    <w:rsid w:val="00BE1926"/>
    <w:rsid w:val="00BE1F8B"/>
    <w:rsid w:val="00BE432F"/>
    <w:rsid w:val="00C0575E"/>
    <w:rsid w:val="00C1507C"/>
    <w:rsid w:val="00C23E6B"/>
    <w:rsid w:val="00C269AB"/>
    <w:rsid w:val="00C3269A"/>
    <w:rsid w:val="00C3670E"/>
    <w:rsid w:val="00C40504"/>
    <w:rsid w:val="00C423BA"/>
    <w:rsid w:val="00C51D43"/>
    <w:rsid w:val="00C54542"/>
    <w:rsid w:val="00C55D4D"/>
    <w:rsid w:val="00C5795D"/>
    <w:rsid w:val="00C60F2F"/>
    <w:rsid w:val="00C615FA"/>
    <w:rsid w:val="00C62FB7"/>
    <w:rsid w:val="00C645C7"/>
    <w:rsid w:val="00C65200"/>
    <w:rsid w:val="00C80ABC"/>
    <w:rsid w:val="00C91D9A"/>
    <w:rsid w:val="00C9277F"/>
    <w:rsid w:val="00C95E03"/>
    <w:rsid w:val="00CB1293"/>
    <w:rsid w:val="00CC1932"/>
    <w:rsid w:val="00CC3824"/>
    <w:rsid w:val="00CD0BCD"/>
    <w:rsid w:val="00CE3A66"/>
    <w:rsid w:val="00CF1B1C"/>
    <w:rsid w:val="00D030E9"/>
    <w:rsid w:val="00D034BF"/>
    <w:rsid w:val="00D07795"/>
    <w:rsid w:val="00D11241"/>
    <w:rsid w:val="00D168B6"/>
    <w:rsid w:val="00D23E2A"/>
    <w:rsid w:val="00D266F1"/>
    <w:rsid w:val="00D30ED5"/>
    <w:rsid w:val="00D30F87"/>
    <w:rsid w:val="00D33DEA"/>
    <w:rsid w:val="00D363D2"/>
    <w:rsid w:val="00D37E86"/>
    <w:rsid w:val="00D45FFD"/>
    <w:rsid w:val="00D46D7E"/>
    <w:rsid w:val="00D47CFC"/>
    <w:rsid w:val="00D504DF"/>
    <w:rsid w:val="00D55FB1"/>
    <w:rsid w:val="00D56855"/>
    <w:rsid w:val="00D6197F"/>
    <w:rsid w:val="00D658C4"/>
    <w:rsid w:val="00D8283A"/>
    <w:rsid w:val="00D83199"/>
    <w:rsid w:val="00D85CA0"/>
    <w:rsid w:val="00D90086"/>
    <w:rsid w:val="00DA3B9B"/>
    <w:rsid w:val="00DB4862"/>
    <w:rsid w:val="00DB4B8F"/>
    <w:rsid w:val="00DB4C6E"/>
    <w:rsid w:val="00DB7863"/>
    <w:rsid w:val="00DC2C4D"/>
    <w:rsid w:val="00DC32AD"/>
    <w:rsid w:val="00DC6ECA"/>
    <w:rsid w:val="00DD2D22"/>
    <w:rsid w:val="00DD4D78"/>
    <w:rsid w:val="00DE3437"/>
    <w:rsid w:val="00DE6D08"/>
    <w:rsid w:val="00DE7456"/>
    <w:rsid w:val="00DF0409"/>
    <w:rsid w:val="00DF280A"/>
    <w:rsid w:val="00E01C1C"/>
    <w:rsid w:val="00E0291C"/>
    <w:rsid w:val="00E02FCF"/>
    <w:rsid w:val="00E12943"/>
    <w:rsid w:val="00E134AE"/>
    <w:rsid w:val="00E16EC4"/>
    <w:rsid w:val="00E20680"/>
    <w:rsid w:val="00E2188B"/>
    <w:rsid w:val="00E25834"/>
    <w:rsid w:val="00E32798"/>
    <w:rsid w:val="00E35B00"/>
    <w:rsid w:val="00E4135F"/>
    <w:rsid w:val="00E41D25"/>
    <w:rsid w:val="00E47008"/>
    <w:rsid w:val="00E57EEF"/>
    <w:rsid w:val="00E64CB1"/>
    <w:rsid w:val="00E730C8"/>
    <w:rsid w:val="00E7324E"/>
    <w:rsid w:val="00E74AF9"/>
    <w:rsid w:val="00E755D6"/>
    <w:rsid w:val="00E7758B"/>
    <w:rsid w:val="00E808A0"/>
    <w:rsid w:val="00E8470E"/>
    <w:rsid w:val="00E873F1"/>
    <w:rsid w:val="00E9090D"/>
    <w:rsid w:val="00E911D4"/>
    <w:rsid w:val="00E94AB6"/>
    <w:rsid w:val="00E968AB"/>
    <w:rsid w:val="00EB01AF"/>
    <w:rsid w:val="00EB3E0F"/>
    <w:rsid w:val="00EB4224"/>
    <w:rsid w:val="00EC1252"/>
    <w:rsid w:val="00EC1398"/>
    <w:rsid w:val="00EC3E06"/>
    <w:rsid w:val="00ED048C"/>
    <w:rsid w:val="00ED1563"/>
    <w:rsid w:val="00EE5B44"/>
    <w:rsid w:val="00EE6350"/>
    <w:rsid w:val="00EE7F44"/>
    <w:rsid w:val="00EF1193"/>
    <w:rsid w:val="00EF529F"/>
    <w:rsid w:val="00F01709"/>
    <w:rsid w:val="00F03EC5"/>
    <w:rsid w:val="00F03FE2"/>
    <w:rsid w:val="00F07086"/>
    <w:rsid w:val="00F1421D"/>
    <w:rsid w:val="00F14733"/>
    <w:rsid w:val="00F207B8"/>
    <w:rsid w:val="00F20F0F"/>
    <w:rsid w:val="00F23D9B"/>
    <w:rsid w:val="00F24820"/>
    <w:rsid w:val="00F313C1"/>
    <w:rsid w:val="00F3573C"/>
    <w:rsid w:val="00F36523"/>
    <w:rsid w:val="00F40580"/>
    <w:rsid w:val="00F43DBC"/>
    <w:rsid w:val="00F44658"/>
    <w:rsid w:val="00F46F7A"/>
    <w:rsid w:val="00F504F0"/>
    <w:rsid w:val="00F5389C"/>
    <w:rsid w:val="00F558DB"/>
    <w:rsid w:val="00F5619E"/>
    <w:rsid w:val="00F607FB"/>
    <w:rsid w:val="00F64DB6"/>
    <w:rsid w:val="00F724BD"/>
    <w:rsid w:val="00F806BB"/>
    <w:rsid w:val="00F833C3"/>
    <w:rsid w:val="00F83EB8"/>
    <w:rsid w:val="00F8429C"/>
    <w:rsid w:val="00F84C41"/>
    <w:rsid w:val="00F87B18"/>
    <w:rsid w:val="00F93AA2"/>
    <w:rsid w:val="00F95B19"/>
    <w:rsid w:val="00F96FDC"/>
    <w:rsid w:val="00FB1E14"/>
    <w:rsid w:val="00FC38CF"/>
    <w:rsid w:val="00FC50C3"/>
    <w:rsid w:val="00FC6F88"/>
    <w:rsid w:val="00FD0FF9"/>
    <w:rsid w:val="00FD3F0B"/>
    <w:rsid w:val="00FE14FA"/>
    <w:rsid w:val="00FE73E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2BC60"/>
  <w15:docId w15:val="{B621FB64-3514-46D3-99DE-FBBCFCB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Heading1">
    <w:name w:val="heading 1"/>
    <w:basedOn w:val="Normal"/>
    <w:next w:val="Normal"/>
    <w:link w:val="Heading1Char"/>
    <w:uiPriority w:val="99"/>
    <w:qFormat/>
    <w:rsid w:val="00EE7F44"/>
    <w:pPr>
      <w:keepNext/>
      <w:keepLines/>
      <w:outlineLvl w:val="0"/>
    </w:pPr>
    <w:rPr>
      <w:rFonts w:eastAsiaTheme="majorEastAsia"/>
      <w:b/>
      <w:bCs/>
      <w:sz w:val="36"/>
      <w:szCs w:val="36"/>
    </w:rPr>
  </w:style>
  <w:style w:type="paragraph" w:styleId="Heading2">
    <w:name w:val="heading 2"/>
    <w:basedOn w:val="Normal"/>
    <w:next w:val="Normal"/>
    <w:link w:val="Heading2Char"/>
    <w:uiPriority w:val="99"/>
    <w:unhideWhenUsed/>
    <w:qFormat/>
    <w:rsid w:val="00D83199"/>
    <w:pPr>
      <w:keepNext/>
      <w:keepLines/>
      <w:spacing w:before="360"/>
      <w:outlineLvl w:val="1"/>
    </w:pPr>
    <w:rPr>
      <w:rFonts w:eastAsiaTheme="majorEastAsia"/>
      <w:b/>
      <w:bCs/>
      <w:sz w:val="28"/>
      <w:szCs w:val="28"/>
      <w:lang w:val="en-US"/>
    </w:rPr>
  </w:style>
  <w:style w:type="paragraph" w:styleId="Heading3">
    <w:name w:val="heading 3"/>
    <w:basedOn w:val="Normal"/>
    <w:next w:val="Normal"/>
    <w:link w:val="Heading3Char"/>
    <w:uiPriority w:val="99"/>
    <w:qFormat/>
    <w:rsid w:val="00D83199"/>
    <w:pPr>
      <w:keepNext/>
      <w:keepLines/>
      <w:spacing w:before="240"/>
      <w:outlineLvl w:val="2"/>
    </w:pPr>
    <w:rPr>
      <w:b/>
      <w:bCs/>
      <w:sz w:val="24"/>
      <w:szCs w:val="24"/>
      <w:lang w:val="en-US"/>
    </w:rPr>
  </w:style>
  <w:style w:type="paragraph" w:styleId="Heading4">
    <w:name w:val="heading 4"/>
    <w:basedOn w:val="Normal"/>
    <w:next w:val="Normal"/>
    <w:link w:val="Heading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Heading5">
    <w:name w:val="heading 5"/>
    <w:basedOn w:val="Normal"/>
    <w:next w:val="Normal"/>
    <w:link w:val="Heading5Char"/>
    <w:uiPriority w:val="9"/>
    <w:semiHidden/>
    <w:unhideWhenUsed/>
    <w:qFormat/>
    <w:rsid w:val="00D83199"/>
    <w:pPr>
      <w:spacing w:before="120" w:after="0"/>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7F44"/>
    <w:rPr>
      <w:rFonts w:ascii="Arial" w:eastAsiaTheme="majorEastAsia" w:hAnsi="Arial" w:cs="Arial"/>
      <w:b/>
      <w:bCs/>
      <w:color w:val="262626" w:themeColor="text1" w:themeTint="D9"/>
      <w:sz w:val="36"/>
      <w:szCs w:val="36"/>
      <w:lang w:eastAsia="nl-BE"/>
    </w:rPr>
  </w:style>
  <w:style w:type="character" w:customStyle="1" w:styleId="Heading2Char">
    <w:name w:val="Heading 2 Char"/>
    <w:basedOn w:val="DefaultParagraphFont"/>
    <w:link w:val="Heading2"/>
    <w:uiPriority w:val="99"/>
    <w:rsid w:val="00D83199"/>
    <w:rPr>
      <w:rFonts w:ascii="Arial" w:eastAsiaTheme="majorEastAsia" w:hAnsi="Arial" w:cs="Arial"/>
      <w:b/>
      <w:bCs/>
      <w:color w:val="262626" w:themeColor="text1" w:themeTint="D9"/>
      <w:sz w:val="28"/>
      <w:szCs w:val="28"/>
      <w:lang w:val="en-US" w:eastAsia="nl-BE"/>
    </w:rPr>
  </w:style>
  <w:style w:type="paragraph" w:styleId="ListParagraph">
    <w:name w:val="List Paragraph"/>
    <w:aliases w:val="List numbered"/>
    <w:basedOn w:val="Normal"/>
    <w:uiPriority w:val="34"/>
    <w:qFormat/>
    <w:rsid w:val="00D83199"/>
    <w:pPr>
      <w:numPr>
        <w:numId w:val="4"/>
      </w:numPr>
      <w:tabs>
        <w:tab w:val="left" w:pos="0"/>
      </w:tabs>
      <w:spacing w:after="0"/>
    </w:pPr>
    <w:rPr>
      <w:lang w:val="en-US"/>
    </w:rPr>
  </w:style>
  <w:style w:type="character" w:customStyle="1" w:styleId="Heading3Char">
    <w:name w:val="Heading 3 Char"/>
    <w:basedOn w:val="DefaultParagraphFont"/>
    <w:link w:val="Heading3"/>
    <w:uiPriority w:val="99"/>
    <w:rsid w:val="00D83199"/>
    <w:rPr>
      <w:rFonts w:ascii="Arial" w:eastAsia="Times New Roman" w:hAnsi="Arial" w:cs="Arial"/>
      <w:b/>
      <w:bCs/>
      <w:color w:val="262626" w:themeColor="text1" w:themeTint="D9"/>
      <w:sz w:val="24"/>
      <w:szCs w:val="24"/>
      <w:lang w:val="en-US" w:eastAsia="nl-BE"/>
    </w:rPr>
  </w:style>
  <w:style w:type="paragraph" w:styleId="BalloonText">
    <w:name w:val="Balloon Text"/>
    <w:basedOn w:val="Normal"/>
    <w:link w:val="BalloonTextChar"/>
    <w:uiPriority w:val="99"/>
    <w:semiHidden/>
    <w:unhideWhenUsed/>
    <w:rsid w:val="008B6507"/>
    <w:rPr>
      <w:rFonts w:ascii="Tahoma" w:hAnsi="Tahoma" w:cs="Tahoma"/>
      <w:sz w:val="16"/>
      <w:szCs w:val="16"/>
    </w:rPr>
  </w:style>
  <w:style w:type="character" w:customStyle="1" w:styleId="BalloonTextChar">
    <w:name w:val="Balloon Text Char"/>
    <w:basedOn w:val="DefaultParagraphFont"/>
    <w:link w:val="BalloonText"/>
    <w:uiPriority w:val="99"/>
    <w:semiHidden/>
    <w:rsid w:val="008B6507"/>
    <w:rPr>
      <w:rFonts w:ascii="Tahoma" w:eastAsia="Times New Roman" w:hAnsi="Tahoma" w:cs="Tahoma"/>
      <w:sz w:val="16"/>
      <w:szCs w:val="16"/>
      <w:lang w:val="nl-NL" w:eastAsia="nl-NL"/>
    </w:rPr>
  </w:style>
  <w:style w:type="table" w:styleId="TableGrid">
    <w:name w:val="Table Grid"/>
    <w:basedOn w:val="TableNorma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A2B"/>
    <w:rPr>
      <w:color w:val="72B9D2" w:themeColor="hyperlink"/>
      <w:u w:val="single"/>
    </w:rPr>
  </w:style>
  <w:style w:type="paragraph" w:styleId="FootnoteText">
    <w:name w:val="footnote text"/>
    <w:basedOn w:val="Normal"/>
    <w:link w:val="FootnoteTextChar"/>
    <w:uiPriority w:val="99"/>
    <w:semiHidden/>
    <w:unhideWhenUsed/>
    <w:rsid w:val="00010D12"/>
    <w:pPr>
      <w:spacing w:after="0" w:line="240" w:lineRule="auto"/>
    </w:pPr>
  </w:style>
  <w:style w:type="character" w:customStyle="1" w:styleId="FootnoteTextChar">
    <w:name w:val="Footnote Text Char"/>
    <w:basedOn w:val="DefaultParagraphFont"/>
    <w:link w:val="FootnoteText"/>
    <w:uiPriority w:val="99"/>
    <w:semiHidden/>
    <w:rsid w:val="00010D12"/>
    <w:rPr>
      <w:rFonts w:ascii="Arial" w:eastAsia="Times New Roman" w:hAnsi="Arial" w:cs="Arial"/>
      <w:color w:val="262626" w:themeColor="text1" w:themeTint="D9"/>
      <w:sz w:val="20"/>
      <w:szCs w:val="20"/>
      <w:lang w:val="nl-NL" w:eastAsia="nl-NL"/>
    </w:rPr>
  </w:style>
  <w:style w:type="character" w:styleId="FootnoteReference">
    <w:name w:val="footnote reference"/>
    <w:basedOn w:val="DefaultParagraphFont"/>
    <w:uiPriority w:val="99"/>
    <w:semiHidden/>
    <w:unhideWhenUsed/>
    <w:rsid w:val="00010D12"/>
    <w:rPr>
      <w:vertAlign w:val="superscript"/>
    </w:rPr>
  </w:style>
  <w:style w:type="character" w:customStyle="1" w:styleId="Heading4Char">
    <w:name w:val="Heading 4 Char"/>
    <w:basedOn w:val="DefaultParagraphFont"/>
    <w:link w:val="Heading4"/>
    <w:uiPriority w:val="9"/>
    <w:rsid w:val="00D83199"/>
    <w:rPr>
      <w:rFonts w:ascii="Arial" w:eastAsiaTheme="majorEastAsia" w:hAnsi="Arial" w:cs="Arial"/>
      <w:b/>
      <w:bCs/>
      <w:iCs/>
      <w:color w:val="262626" w:themeColor="text1" w:themeTint="D9"/>
      <w:lang w:val="en-US" w:eastAsia="nl-BE"/>
    </w:rPr>
  </w:style>
  <w:style w:type="paragraph" w:styleId="NoSpacing">
    <w:name w:val="No Spacing"/>
    <w:basedOn w:val="Normal"/>
    <w:uiPriority w:val="1"/>
    <w:qFormat/>
    <w:rsid w:val="00D83199"/>
    <w:pPr>
      <w:spacing w:after="0"/>
    </w:pPr>
  </w:style>
  <w:style w:type="paragraph" w:styleId="Title">
    <w:name w:val="Title"/>
    <w:basedOn w:val="Heading1"/>
    <w:next w:val="Normal"/>
    <w:link w:val="TitleChar"/>
    <w:uiPriority w:val="10"/>
    <w:qFormat/>
    <w:rsid w:val="00456F51"/>
    <w:pPr>
      <w:jc w:val="left"/>
    </w:pPr>
    <w:rPr>
      <w:sz w:val="40"/>
      <w:szCs w:val="40"/>
      <w:lang w:val="en-US"/>
    </w:rPr>
  </w:style>
  <w:style w:type="character" w:customStyle="1" w:styleId="TitleChar">
    <w:name w:val="Title Char"/>
    <w:basedOn w:val="DefaultParagraphFont"/>
    <w:link w:val="Title"/>
    <w:uiPriority w:val="10"/>
    <w:rsid w:val="00456F51"/>
    <w:rPr>
      <w:rFonts w:ascii="Arial" w:eastAsiaTheme="majorEastAsia" w:hAnsi="Arial" w:cs="Arial"/>
      <w:b/>
      <w:bCs/>
      <w:color w:val="262626" w:themeColor="text1" w:themeTint="D9"/>
      <w:sz w:val="40"/>
      <w:szCs w:val="40"/>
      <w:lang w:val="en-US" w:eastAsia="nl-BE"/>
    </w:rPr>
  </w:style>
  <w:style w:type="character" w:styleId="Emphasis">
    <w:name w:val="Emphasis"/>
    <w:uiPriority w:val="20"/>
    <w:qFormat/>
    <w:rsid w:val="00D83199"/>
    <w:rPr>
      <w:b/>
    </w:rPr>
  </w:style>
  <w:style w:type="character" w:styleId="IntenseEmphasis">
    <w:name w:val="Intense Emphasis"/>
    <w:uiPriority w:val="21"/>
    <w:qFormat/>
    <w:rsid w:val="00D83199"/>
    <w:rPr>
      <w:b/>
      <w:color w:val="CF7B1F" w:themeColor="accent2"/>
    </w:rPr>
  </w:style>
  <w:style w:type="character" w:customStyle="1" w:styleId="Heading5Char">
    <w:name w:val="Heading 5 Char"/>
    <w:basedOn w:val="DefaultParagraphFont"/>
    <w:link w:val="Heading5"/>
    <w:uiPriority w:val="9"/>
    <w:semiHidden/>
    <w:rsid w:val="00D83199"/>
    <w:rPr>
      <w:rFonts w:ascii="Arial" w:eastAsia="Times New Roman" w:hAnsi="Arial" w:cs="Arial"/>
      <w:b/>
      <w:color w:val="404040" w:themeColor="text1" w:themeTint="BF"/>
      <w:sz w:val="20"/>
      <w:szCs w:val="20"/>
      <w:lang w:eastAsia="nl-BE"/>
    </w:rPr>
  </w:style>
  <w:style w:type="paragraph" w:styleId="Subtitle">
    <w:name w:val="Subtitle"/>
    <w:basedOn w:val="Normal"/>
    <w:next w:val="Normal"/>
    <w:link w:val="SubtitleChar"/>
    <w:uiPriority w:val="11"/>
    <w:qFormat/>
    <w:rsid w:val="00456F51"/>
    <w:pPr>
      <w:spacing w:after="480"/>
      <w:jc w:val="left"/>
    </w:pPr>
    <w:rPr>
      <w:b/>
      <w:sz w:val="28"/>
      <w:szCs w:val="28"/>
    </w:rPr>
  </w:style>
  <w:style w:type="paragraph" w:styleId="Header">
    <w:name w:val="header"/>
    <w:basedOn w:val="Normal"/>
    <w:link w:val="HeaderChar"/>
    <w:uiPriority w:val="99"/>
    <w:unhideWhenUsed/>
    <w:rsid w:val="006F33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346"/>
    <w:rPr>
      <w:rFonts w:ascii="Arial" w:eastAsia="Times New Roman" w:hAnsi="Arial" w:cs="Arial"/>
      <w:color w:val="404040" w:themeColor="text1" w:themeTint="BF"/>
      <w:sz w:val="20"/>
      <w:szCs w:val="20"/>
      <w:lang w:val="nl-NL" w:eastAsia="nl-NL"/>
    </w:rPr>
  </w:style>
  <w:style w:type="paragraph" w:styleId="Footer">
    <w:name w:val="footer"/>
    <w:basedOn w:val="FootnoteText"/>
    <w:link w:val="FooterChar"/>
    <w:unhideWhenUsed/>
    <w:qFormat/>
    <w:rsid w:val="00D83199"/>
    <w:pPr>
      <w:spacing w:line="288" w:lineRule="auto"/>
    </w:pPr>
    <w:rPr>
      <w:sz w:val="18"/>
      <w:szCs w:val="18"/>
    </w:rPr>
  </w:style>
  <w:style w:type="character" w:customStyle="1" w:styleId="FooterChar">
    <w:name w:val="Footer Char"/>
    <w:basedOn w:val="DefaultParagraphFont"/>
    <w:link w:val="Footer"/>
    <w:rsid w:val="00D83199"/>
    <w:rPr>
      <w:rFonts w:ascii="Arial" w:eastAsia="Times New Roman" w:hAnsi="Arial" w:cs="Arial"/>
      <w:color w:val="262626" w:themeColor="text1" w:themeTint="D9"/>
      <w:sz w:val="18"/>
      <w:szCs w:val="18"/>
      <w:lang w:eastAsia="nl-BE"/>
    </w:rPr>
  </w:style>
  <w:style w:type="character" w:styleId="PageNumber">
    <w:name w:val="page number"/>
    <w:basedOn w:val="DefaultParagraphFont"/>
    <w:rsid w:val="000A03D7"/>
  </w:style>
  <w:style w:type="character" w:customStyle="1" w:styleId="SubtitleChar">
    <w:name w:val="Subtitle Char"/>
    <w:basedOn w:val="DefaultParagraphFont"/>
    <w:link w:val="Subtitle"/>
    <w:uiPriority w:val="11"/>
    <w:rsid w:val="00456F51"/>
    <w:rPr>
      <w:rFonts w:ascii="Arial" w:eastAsia="Times New Roman" w:hAnsi="Arial" w:cs="Arial"/>
      <w:b/>
      <w:color w:val="262626" w:themeColor="text1" w:themeTint="D9"/>
      <w:sz w:val="28"/>
      <w:szCs w:val="28"/>
      <w:lang w:eastAsia="nl-BE"/>
    </w:rPr>
  </w:style>
  <w:style w:type="paragraph" w:styleId="TOC1">
    <w:name w:val="toc 1"/>
    <w:basedOn w:val="Normal"/>
    <w:next w:val="Normal"/>
    <w:autoRedefine/>
    <w:uiPriority w:val="39"/>
    <w:unhideWhenUsed/>
    <w:rsid w:val="00456F51"/>
    <w:pPr>
      <w:spacing w:before="240"/>
      <w:jc w:val="left"/>
    </w:pPr>
    <w:rPr>
      <w:rFonts w:asciiTheme="minorHAnsi" w:hAnsiTheme="minorHAnsi" w:cstheme="minorHAnsi"/>
      <w:b/>
      <w:bCs/>
    </w:rPr>
  </w:style>
  <w:style w:type="paragraph" w:styleId="TOC2">
    <w:name w:val="toc 2"/>
    <w:basedOn w:val="Normal"/>
    <w:next w:val="Normal"/>
    <w:autoRedefine/>
    <w:uiPriority w:val="39"/>
    <w:unhideWhenUsed/>
    <w:rsid w:val="00456F51"/>
    <w:pPr>
      <w:spacing w:before="120" w:after="0"/>
      <w:ind w:left="200"/>
      <w:jc w:val="left"/>
    </w:pPr>
    <w:rPr>
      <w:rFonts w:asciiTheme="minorHAnsi" w:hAnsiTheme="minorHAnsi" w:cstheme="minorHAnsi"/>
      <w:i/>
      <w:iCs/>
    </w:rPr>
  </w:style>
  <w:style w:type="paragraph" w:styleId="TOC3">
    <w:name w:val="toc 3"/>
    <w:basedOn w:val="Normal"/>
    <w:next w:val="Normal"/>
    <w:autoRedefine/>
    <w:uiPriority w:val="39"/>
    <w:unhideWhenUsed/>
    <w:rsid w:val="00456F51"/>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456F51"/>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456F51"/>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456F51"/>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456F51"/>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456F51"/>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456F51"/>
    <w:pPr>
      <w:spacing w:after="0"/>
      <w:ind w:left="1600"/>
      <w:jc w:val="left"/>
    </w:pPr>
    <w:rPr>
      <w:rFonts w:asciiTheme="minorHAnsi" w:hAnsiTheme="minorHAnsi" w:cstheme="minorHAnsi"/>
    </w:rPr>
  </w:style>
  <w:style w:type="character" w:styleId="FollowedHyperlink">
    <w:name w:val="FollowedHyperlink"/>
    <w:basedOn w:val="DefaultParagraphFont"/>
    <w:uiPriority w:val="99"/>
    <w:semiHidden/>
    <w:unhideWhenUsed/>
    <w:rsid w:val="00CC1932"/>
    <w:rPr>
      <w:color w:val="40534E" w:themeColor="followedHyperlink"/>
      <w:u w:val="single"/>
    </w:rPr>
  </w:style>
  <w:style w:type="character" w:styleId="CommentReference">
    <w:name w:val="annotation reference"/>
    <w:basedOn w:val="DefaultParagraphFont"/>
    <w:uiPriority w:val="99"/>
    <w:semiHidden/>
    <w:unhideWhenUsed/>
    <w:rsid w:val="00E7758B"/>
    <w:rPr>
      <w:sz w:val="16"/>
      <w:szCs w:val="16"/>
    </w:rPr>
  </w:style>
  <w:style w:type="paragraph" w:styleId="CommentText">
    <w:name w:val="annotation text"/>
    <w:basedOn w:val="Normal"/>
    <w:link w:val="CommentTextChar"/>
    <w:uiPriority w:val="99"/>
    <w:semiHidden/>
    <w:unhideWhenUsed/>
    <w:rsid w:val="00E7758B"/>
    <w:pPr>
      <w:spacing w:line="240" w:lineRule="auto"/>
    </w:pPr>
  </w:style>
  <w:style w:type="character" w:customStyle="1" w:styleId="CommentTextChar">
    <w:name w:val="Comment Text Char"/>
    <w:basedOn w:val="DefaultParagraphFont"/>
    <w:link w:val="CommentText"/>
    <w:uiPriority w:val="99"/>
    <w:semiHidden/>
    <w:rsid w:val="00E7758B"/>
    <w:rPr>
      <w:rFonts w:ascii="Arial" w:eastAsia="Times New Roman" w:hAnsi="Arial" w:cs="Arial"/>
      <w:color w:val="262626" w:themeColor="text1" w:themeTint="D9"/>
      <w:sz w:val="20"/>
      <w:szCs w:val="20"/>
      <w:lang w:eastAsia="nl-BE"/>
    </w:rPr>
  </w:style>
  <w:style w:type="paragraph" w:styleId="CommentSubject">
    <w:name w:val="annotation subject"/>
    <w:basedOn w:val="CommentText"/>
    <w:next w:val="CommentText"/>
    <w:link w:val="CommentSubjectChar"/>
    <w:uiPriority w:val="99"/>
    <w:semiHidden/>
    <w:unhideWhenUsed/>
    <w:rsid w:val="00E7758B"/>
    <w:rPr>
      <w:b/>
      <w:bCs/>
    </w:rPr>
  </w:style>
  <w:style w:type="character" w:customStyle="1" w:styleId="CommentSubjectChar">
    <w:name w:val="Comment Subject Char"/>
    <w:basedOn w:val="CommentTextChar"/>
    <w:link w:val="CommentSubject"/>
    <w:uiPriority w:val="99"/>
    <w:semiHidden/>
    <w:rsid w:val="00E7758B"/>
    <w:rPr>
      <w:rFonts w:ascii="Arial" w:eastAsia="Times New Roman" w:hAnsi="Arial" w:cs="Arial"/>
      <w:b/>
      <w:bCs/>
      <w:color w:val="262626" w:themeColor="text1" w:themeTint="D9"/>
      <w:sz w:val="20"/>
      <w:szCs w:val="20"/>
      <w:lang w:eastAsia="nl-BE"/>
    </w:rPr>
  </w:style>
  <w:style w:type="paragraph" w:styleId="Revision">
    <w:name w:val="Revision"/>
    <w:hidden/>
    <w:uiPriority w:val="99"/>
    <w:semiHidden/>
    <w:rsid w:val="002D26AA"/>
    <w:pPr>
      <w:spacing w:after="0" w:line="240" w:lineRule="auto"/>
    </w:pPr>
    <w:rPr>
      <w:rFonts w:ascii="Arial" w:eastAsia="Times New Roman" w:hAnsi="Arial" w:cs="Arial"/>
      <w:color w:val="262626" w:themeColor="text1" w:themeTint="D9"/>
      <w:sz w:val="20"/>
      <w:szCs w:val="20"/>
      <w:lang w:eastAsia="nl-BE"/>
    </w:rPr>
  </w:style>
  <w:style w:type="paragraph" w:styleId="HTMLPreformatted">
    <w:name w:val="HTML Preformatted"/>
    <w:basedOn w:val="Normal"/>
    <w:link w:val="HTMLPreformattedChar"/>
    <w:uiPriority w:val="99"/>
    <w:unhideWhenUsed/>
    <w:rsid w:val="0046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lang w:val="es-BO" w:eastAsia="es-BO"/>
    </w:rPr>
  </w:style>
  <w:style w:type="character" w:customStyle="1" w:styleId="HTMLPreformattedChar">
    <w:name w:val="HTML Preformatted Char"/>
    <w:basedOn w:val="DefaultParagraphFont"/>
    <w:link w:val="HTMLPreformatted"/>
    <w:uiPriority w:val="99"/>
    <w:rsid w:val="00465779"/>
    <w:rPr>
      <w:rFonts w:ascii="Courier New" w:eastAsia="Times New Roman" w:hAnsi="Courier New" w:cs="Courier New"/>
      <w:sz w:val="20"/>
      <w:szCs w:val="20"/>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052">
      <w:bodyDiv w:val="1"/>
      <w:marLeft w:val="0"/>
      <w:marRight w:val="0"/>
      <w:marTop w:val="0"/>
      <w:marBottom w:val="0"/>
      <w:divBdr>
        <w:top w:val="none" w:sz="0" w:space="0" w:color="auto"/>
        <w:left w:val="none" w:sz="0" w:space="0" w:color="auto"/>
        <w:bottom w:val="none" w:sz="0" w:space="0" w:color="auto"/>
        <w:right w:val="none" w:sz="0" w:space="0" w:color="auto"/>
      </w:divBdr>
    </w:div>
    <w:div w:id="129132720">
      <w:bodyDiv w:val="1"/>
      <w:marLeft w:val="0"/>
      <w:marRight w:val="0"/>
      <w:marTop w:val="0"/>
      <w:marBottom w:val="0"/>
      <w:divBdr>
        <w:top w:val="none" w:sz="0" w:space="0" w:color="auto"/>
        <w:left w:val="none" w:sz="0" w:space="0" w:color="auto"/>
        <w:bottom w:val="none" w:sz="0" w:space="0" w:color="auto"/>
        <w:right w:val="none" w:sz="0" w:space="0" w:color="auto"/>
      </w:divBdr>
    </w:div>
    <w:div w:id="194006309">
      <w:bodyDiv w:val="1"/>
      <w:marLeft w:val="0"/>
      <w:marRight w:val="0"/>
      <w:marTop w:val="0"/>
      <w:marBottom w:val="0"/>
      <w:divBdr>
        <w:top w:val="none" w:sz="0" w:space="0" w:color="auto"/>
        <w:left w:val="none" w:sz="0" w:space="0" w:color="auto"/>
        <w:bottom w:val="none" w:sz="0" w:space="0" w:color="auto"/>
        <w:right w:val="none" w:sz="0" w:space="0" w:color="auto"/>
      </w:divBdr>
    </w:div>
    <w:div w:id="194856795">
      <w:bodyDiv w:val="1"/>
      <w:marLeft w:val="0"/>
      <w:marRight w:val="0"/>
      <w:marTop w:val="0"/>
      <w:marBottom w:val="0"/>
      <w:divBdr>
        <w:top w:val="none" w:sz="0" w:space="0" w:color="auto"/>
        <w:left w:val="none" w:sz="0" w:space="0" w:color="auto"/>
        <w:bottom w:val="none" w:sz="0" w:space="0" w:color="auto"/>
        <w:right w:val="none" w:sz="0" w:space="0" w:color="auto"/>
      </w:divBdr>
    </w:div>
    <w:div w:id="258684713">
      <w:bodyDiv w:val="1"/>
      <w:marLeft w:val="0"/>
      <w:marRight w:val="0"/>
      <w:marTop w:val="0"/>
      <w:marBottom w:val="0"/>
      <w:divBdr>
        <w:top w:val="none" w:sz="0" w:space="0" w:color="auto"/>
        <w:left w:val="none" w:sz="0" w:space="0" w:color="auto"/>
        <w:bottom w:val="none" w:sz="0" w:space="0" w:color="auto"/>
        <w:right w:val="none" w:sz="0" w:space="0" w:color="auto"/>
      </w:divBdr>
    </w:div>
    <w:div w:id="305667983">
      <w:bodyDiv w:val="1"/>
      <w:marLeft w:val="0"/>
      <w:marRight w:val="0"/>
      <w:marTop w:val="0"/>
      <w:marBottom w:val="0"/>
      <w:divBdr>
        <w:top w:val="none" w:sz="0" w:space="0" w:color="auto"/>
        <w:left w:val="none" w:sz="0" w:space="0" w:color="auto"/>
        <w:bottom w:val="none" w:sz="0" w:space="0" w:color="auto"/>
        <w:right w:val="none" w:sz="0" w:space="0" w:color="auto"/>
      </w:divBdr>
    </w:div>
    <w:div w:id="518855530">
      <w:bodyDiv w:val="1"/>
      <w:marLeft w:val="0"/>
      <w:marRight w:val="0"/>
      <w:marTop w:val="0"/>
      <w:marBottom w:val="0"/>
      <w:divBdr>
        <w:top w:val="none" w:sz="0" w:space="0" w:color="auto"/>
        <w:left w:val="none" w:sz="0" w:space="0" w:color="auto"/>
        <w:bottom w:val="none" w:sz="0" w:space="0" w:color="auto"/>
        <w:right w:val="none" w:sz="0" w:space="0" w:color="auto"/>
      </w:divBdr>
    </w:div>
    <w:div w:id="657536500">
      <w:bodyDiv w:val="1"/>
      <w:marLeft w:val="0"/>
      <w:marRight w:val="0"/>
      <w:marTop w:val="0"/>
      <w:marBottom w:val="0"/>
      <w:divBdr>
        <w:top w:val="none" w:sz="0" w:space="0" w:color="auto"/>
        <w:left w:val="none" w:sz="0" w:space="0" w:color="auto"/>
        <w:bottom w:val="none" w:sz="0" w:space="0" w:color="auto"/>
        <w:right w:val="none" w:sz="0" w:space="0" w:color="auto"/>
      </w:divBdr>
    </w:div>
    <w:div w:id="711929792">
      <w:bodyDiv w:val="1"/>
      <w:marLeft w:val="0"/>
      <w:marRight w:val="0"/>
      <w:marTop w:val="0"/>
      <w:marBottom w:val="0"/>
      <w:divBdr>
        <w:top w:val="none" w:sz="0" w:space="0" w:color="auto"/>
        <w:left w:val="none" w:sz="0" w:space="0" w:color="auto"/>
        <w:bottom w:val="none" w:sz="0" w:space="0" w:color="auto"/>
        <w:right w:val="none" w:sz="0" w:space="0" w:color="auto"/>
      </w:divBdr>
    </w:div>
    <w:div w:id="779380220">
      <w:bodyDiv w:val="1"/>
      <w:marLeft w:val="0"/>
      <w:marRight w:val="0"/>
      <w:marTop w:val="0"/>
      <w:marBottom w:val="0"/>
      <w:divBdr>
        <w:top w:val="none" w:sz="0" w:space="0" w:color="auto"/>
        <w:left w:val="none" w:sz="0" w:space="0" w:color="auto"/>
        <w:bottom w:val="none" w:sz="0" w:space="0" w:color="auto"/>
        <w:right w:val="none" w:sz="0" w:space="0" w:color="auto"/>
      </w:divBdr>
    </w:div>
    <w:div w:id="801000855">
      <w:bodyDiv w:val="1"/>
      <w:marLeft w:val="0"/>
      <w:marRight w:val="0"/>
      <w:marTop w:val="0"/>
      <w:marBottom w:val="0"/>
      <w:divBdr>
        <w:top w:val="none" w:sz="0" w:space="0" w:color="auto"/>
        <w:left w:val="none" w:sz="0" w:space="0" w:color="auto"/>
        <w:bottom w:val="none" w:sz="0" w:space="0" w:color="auto"/>
        <w:right w:val="none" w:sz="0" w:space="0" w:color="auto"/>
      </w:divBdr>
    </w:div>
    <w:div w:id="1018045068">
      <w:bodyDiv w:val="1"/>
      <w:marLeft w:val="0"/>
      <w:marRight w:val="0"/>
      <w:marTop w:val="0"/>
      <w:marBottom w:val="0"/>
      <w:divBdr>
        <w:top w:val="none" w:sz="0" w:space="0" w:color="auto"/>
        <w:left w:val="none" w:sz="0" w:space="0" w:color="auto"/>
        <w:bottom w:val="none" w:sz="0" w:space="0" w:color="auto"/>
        <w:right w:val="none" w:sz="0" w:space="0" w:color="auto"/>
      </w:divBdr>
    </w:div>
    <w:div w:id="1498377555">
      <w:bodyDiv w:val="1"/>
      <w:marLeft w:val="0"/>
      <w:marRight w:val="0"/>
      <w:marTop w:val="0"/>
      <w:marBottom w:val="0"/>
      <w:divBdr>
        <w:top w:val="none" w:sz="0" w:space="0" w:color="auto"/>
        <w:left w:val="none" w:sz="0" w:space="0" w:color="auto"/>
        <w:bottom w:val="none" w:sz="0" w:space="0" w:color="auto"/>
        <w:right w:val="none" w:sz="0" w:space="0" w:color="auto"/>
      </w:divBdr>
    </w:div>
    <w:div w:id="1511872516">
      <w:bodyDiv w:val="1"/>
      <w:marLeft w:val="0"/>
      <w:marRight w:val="0"/>
      <w:marTop w:val="0"/>
      <w:marBottom w:val="0"/>
      <w:divBdr>
        <w:top w:val="none" w:sz="0" w:space="0" w:color="auto"/>
        <w:left w:val="none" w:sz="0" w:space="0" w:color="auto"/>
        <w:bottom w:val="none" w:sz="0" w:space="0" w:color="auto"/>
        <w:right w:val="none" w:sz="0" w:space="0" w:color="auto"/>
      </w:divBdr>
    </w:div>
    <w:div w:id="1528131586">
      <w:bodyDiv w:val="1"/>
      <w:marLeft w:val="0"/>
      <w:marRight w:val="0"/>
      <w:marTop w:val="0"/>
      <w:marBottom w:val="0"/>
      <w:divBdr>
        <w:top w:val="none" w:sz="0" w:space="0" w:color="auto"/>
        <w:left w:val="none" w:sz="0" w:space="0" w:color="auto"/>
        <w:bottom w:val="none" w:sz="0" w:space="0" w:color="auto"/>
        <w:right w:val="none" w:sz="0" w:space="0" w:color="auto"/>
      </w:divBdr>
    </w:div>
    <w:div w:id="1615554673">
      <w:bodyDiv w:val="1"/>
      <w:marLeft w:val="0"/>
      <w:marRight w:val="0"/>
      <w:marTop w:val="0"/>
      <w:marBottom w:val="0"/>
      <w:divBdr>
        <w:top w:val="none" w:sz="0" w:space="0" w:color="auto"/>
        <w:left w:val="none" w:sz="0" w:space="0" w:color="auto"/>
        <w:bottom w:val="none" w:sz="0" w:space="0" w:color="auto"/>
        <w:right w:val="none" w:sz="0" w:space="0" w:color="auto"/>
      </w:divBdr>
    </w:div>
    <w:div w:id="1630820515">
      <w:bodyDiv w:val="1"/>
      <w:marLeft w:val="0"/>
      <w:marRight w:val="0"/>
      <w:marTop w:val="0"/>
      <w:marBottom w:val="0"/>
      <w:divBdr>
        <w:top w:val="none" w:sz="0" w:space="0" w:color="auto"/>
        <w:left w:val="none" w:sz="0" w:space="0" w:color="auto"/>
        <w:bottom w:val="none" w:sz="0" w:space="0" w:color="auto"/>
        <w:right w:val="none" w:sz="0" w:space="0" w:color="auto"/>
      </w:divBdr>
    </w:div>
    <w:div w:id="1767072918">
      <w:bodyDiv w:val="1"/>
      <w:marLeft w:val="0"/>
      <w:marRight w:val="0"/>
      <w:marTop w:val="0"/>
      <w:marBottom w:val="0"/>
      <w:divBdr>
        <w:top w:val="none" w:sz="0" w:space="0" w:color="auto"/>
        <w:left w:val="none" w:sz="0" w:space="0" w:color="auto"/>
        <w:bottom w:val="none" w:sz="0" w:space="0" w:color="auto"/>
        <w:right w:val="none" w:sz="0" w:space="0" w:color="auto"/>
      </w:divBdr>
    </w:div>
    <w:div w:id="1833057267">
      <w:bodyDiv w:val="1"/>
      <w:marLeft w:val="0"/>
      <w:marRight w:val="0"/>
      <w:marTop w:val="0"/>
      <w:marBottom w:val="0"/>
      <w:divBdr>
        <w:top w:val="none" w:sz="0" w:space="0" w:color="auto"/>
        <w:left w:val="none" w:sz="0" w:space="0" w:color="auto"/>
        <w:bottom w:val="none" w:sz="0" w:space="0" w:color="auto"/>
        <w:right w:val="none" w:sz="0" w:space="0" w:color="auto"/>
      </w:divBdr>
    </w:div>
    <w:div w:id="1839692467">
      <w:bodyDiv w:val="1"/>
      <w:marLeft w:val="0"/>
      <w:marRight w:val="0"/>
      <w:marTop w:val="0"/>
      <w:marBottom w:val="0"/>
      <w:divBdr>
        <w:top w:val="none" w:sz="0" w:space="0" w:color="auto"/>
        <w:left w:val="none" w:sz="0" w:space="0" w:color="auto"/>
        <w:bottom w:val="none" w:sz="0" w:space="0" w:color="auto"/>
        <w:right w:val="none" w:sz="0" w:space="0" w:color="auto"/>
      </w:divBdr>
    </w:div>
    <w:div w:id="21359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iruos.be/iuc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es.motmans@vub.ac.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inabaldur@gmail.com" TargetMode="External"/><Relationship Id="rId4" Type="http://schemas.openxmlformats.org/officeDocument/2006/relationships/settings" Target="settings.xml"/><Relationship Id="rId9" Type="http://schemas.openxmlformats.org/officeDocument/2006/relationships/hyperlink" Target="mailto:i_balderrama_d@ucb.edu.b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Sjablonen\Document%20(met%20of%20zonder%20logo)\VLIR-UOS%20basic%20(met%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1DF4-378E-4278-99FA-F36ED18C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Template>
  <TotalTime>936</TotalTime>
  <Pages>9</Pages>
  <Words>5112</Words>
  <Characters>28122</Characters>
  <Application>Microsoft Office Word</Application>
  <DocSecurity>0</DocSecurity>
  <Lines>234</Lines>
  <Paragraphs>66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Zeuwts</dc:creator>
  <cp:lastModifiedBy>Jannes MOTMANS</cp:lastModifiedBy>
  <cp:revision>36</cp:revision>
  <cp:lastPrinted>2017-04-20T13:14:00Z</cp:lastPrinted>
  <dcterms:created xsi:type="dcterms:W3CDTF">2017-04-20T13:41:00Z</dcterms:created>
  <dcterms:modified xsi:type="dcterms:W3CDTF">2017-05-02T19:38:00Z</dcterms:modified>
</cp:coreProperties>
</file>